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680" w:after="120"/>
      </w:pPr>
      <w:r>
        <w:rPr>
          <w:rFonts w:ascii="Calibri" w:hAnsi="Calibri" w:eastAsia="Calibri"/>
          <w:b/>
          <w:color w:val="2E74B5"/>
          <w:sz w:val="20"/>
        </w:rPr>
        <w:t>KONZEPTENTWURF</w:t>
      </w:r>
    </w:p>
    <w:p>
      <w:pPr>
        <w:pStyle w:val="Title"/>
      </w:pPr>
      <w:r>
        <w:t>UAS Smart</w:t>
      </w:r>
    </w:p>
    <w:p>
      <w:pPr>
        <w:pStyle w:val="Subtitle"/>
      </w:pPr>
      <w:r>
        <w:t>Lastenheft und Pflichtenheft für eine offene UAS-Betriebsplattform</w:t>
      </w:r>
    </w:p>
    <w:p>
      <w:pPr>
        <w:spacing w:after="40" w:line="240" w:lineRule="auto"/>
      </w:pPr>
      <w:r>
        <w:rPr>
          <w:rFonts w:ascii="Calibri" w:hAnsi="Calibri" w:eastAsia="Calibri"/>
          <w:b/>
          <w:color w:val="17365D"/>
          <w:sz w:val="21"/>
        </w:rPr>
        <w:t xml:space="preserve">Produktname: </w:t>
      </w:r>
      <w:r>
        <w:rPr>
          <w:rFonts w:ascii="Calibri" w:hAnsi="Calibri" w:eastAsia="Calibri"/>
          <w:color w:val="1F2937"/>
          <w:sz w:val="21"/>
        </w:rPr>
        <w:t>UAS Smart</w:t>
      </w:r>
    </w:p>
    <w:p>
      <w:pPr>
        <w:spacing w:after="40" w:line="240" w:lineRule="auto"/>
      </w:pPr>
      <w:r>
        <w:rPr>
          <w:rFonts w:ascii="Calibri" w:hAnsi="Calibri" w:eastAsia="Calibri"/>
          <w:b/>
          <w:color w:val="17365D"/>
          <w:sz w:val="21"/>
        </w:rPr>
        <w:t xml:space="preserve">Zielgruppen: </w:t>
      </w:r>
      <w:r>
        <w:rPr>
          <w:rFonts w:ascii="Calibri" w:hAnsi="Calibri" w:eastAsia="Calibri"/>
          <w:color w:val="1F2937"/>
          <w:sz w:val="21"/>
        </w:rPr>
        <w:t>Private Fernpiloten, Selbstständige und Organisationen</w:t>
      </w:r>
    </w:p>
    <w:p>
      <w:pPr>
        <w:spacing w:after="40" w:line="240" w:lineRule="auto"/>
      </w:pPr>
      <w:r>
        <w:rPr>
          <w:rFonts w:ascii="Calibri" w:hAnsi="Calibri" w:eastAsia="Calibri"/>
          <w:b/>
          <w:color w:val="17365D"/>
          <w:sz w:val="21"/>
        </w:rPr>
        <w:t xml:space="preserve">Erstmarkt: </w:t>
      </w:r>
      <w:r>
        <w:rPr>
          <w:rFonts w:ascii="Calibri" w:hAnsi="Calibri" w:eastAsia="Calibri"/>
          <w:color w:val="1F2937"/>
          <w:sz w:val="21"/>
        </w:rPr>
        <w:t>Deutschland; EU-/EWR-fähige Erweiterung</w:t>
      </w:r>
    </w:p>
    <w:p>
      <w:pPr>
        <w:spacing w:after="40" w:line="240" w:lineRule="auto"/>
      </w:pPr>
      <w:r>
        <w:rPr>
          <w:rFonts w:ascii="Calibri" w:hAnsi="Calibri" w:eastAsia="Calibri"/>
          <w:b/>
          <w:color w:val="17365D"/>
          <w:sz w:val="21"/>
        </w:rPr>
        <w:t xml:space="preserve">Kernmodule: </w:t>
      </w:r>
      <w:r>
        <w:rPr>
          <w:rFonts w:ascii="Calibri" w:hAnsi="Calibri" w:eastAsia="Calibri"/>
          <w:color w:val="1F2937"/>
          <w:sz w:val="21"/>
        </w:rPr>
        <w:t>Einsatzplanung, Livebild, Flugbuch, Flotte, Wartung und Compliance</w:t>
      </w:r>
    </w:p>
    <w:p>
      <w:pPr>
        <w:spacing w:after="40" w:line="240" w:lineRule="auto"/>
      </w:pPr>
      <w:r>
        <w:rPr>
          <w:rFonts w:ascii="Calibri" w:hAnsi="Calibri" w:eastAsia="Calibri"/>
          <w:b/>
          <w:color w:val="17365D"/>
          <w:sz w:val="21"/>
        </w:rPr>
        <w:t xml:space="preserve">Betriebsmodell: </w:t>
      </w:r>
      <w:r>
        <w:rPr>
          <w:rFonts w:ascii="Calibri" w:hAnsi="Calibri" w:eastAsia="Calibri"/>
          <w:color w:val="1F2937"/>
          <w:sz w:val="21"/>
        </w:rPr>
        <w:t>Open Source und vollständig selbst hostbar</w:t>
      </w:r>
    </w:p>
    <w:p>
      <w:pPr>
        <w:spacing w:after="40" w:line="240" w:lineRule="auto"/>
      </w:pPr>
      <w:r>
        <w:rPr>
          <w:rFonts w:ascii="Calibri" w:hAnsi="Calibri" w:eastAsia="Calibri"/>
          <w:b/>
          <w:color w:val="17365D"/>
          <w:sz w:val="21"/>
        </w:rPr>
        <w:t xml:space="preserve">Dokumentstatus: </w:t>
      </w:r>
      <w:r>
        <w:rPr>
          <w:rFonts w:ascii="Calibri" w:hAnsi="Calibri" w:eastAsia="Calibri"/>
          <w:color w:val="1F2937"/>
          <w:sz w:val="21"/>
        </w:rPr>
        <w:t>Vorschlag / Diskussionsgrundlage</w:t>
      </w:r>
    </w:p>
    <w:p>
      <w:pPr>
        <w:spacing w:after="40" w:line="240" w:lineRule="auto"/>
      </w:pPr>
      <w:r>
        <w:rPr>
          <w:rFonts w:ascii="Calibri" w:hAnsi="Calibri" w:eastAsia="Calibri"/>
          <w:b/>
          <w:color w:val="17365D"/>
          <w:sz w:val="21"/>
        </w:rPr>
        <w:t xml:space="preserve">Version / Stand: </w:t>
      </w:r>
      <w:r>
        <w:rPr>
          <w:rFonts w:ascii="Calibri" w:hAnsi="Calibri" w:eastAsia="Calibri"/>
          <w:color w:val="1F2937"/>
          <w:sz w:val="21"/>
        </w:rPr>
        <w:t>1.0 / 04.08.2026</w:t>
      </w:r>
    </w:p>
    <w:p>
      <w:pPr>
        <w:spacing w:before="240" w:after="400"/>
        <w:pBdr>
          <w:bottom w:val="single" w:sz="16" w:space="4" w:color="2E74B5"/>
        </w:pBdr>
      </w:pPr>
    </w:p>
    <w:p>
      <w:pPr>
        <w:spacing w:before="120" w:after="200" w:line="264" w:lineRule="auto"/>
        <w:ind w:left="173" w:right="115"/>
        <w:shd w:fill="E8EEF5"/>
        <w:pBdr>
          <w:left w:val="single" w:sz="18" w:space="8" w:color="2E74B5"/>
        </w:pBdr>
      </w:pPr>
      <w:r>
        <w:rPr>
          <w:rFonts w:ascii="Calibri" w:hAnsi="Calibri" w:eastAsia="Calibri"/>
          <w:b/>
          <w:color w:val="2E74B5"/>
        </w:rPr>
        <w:t xml:space="preserve">Leitentscheidung: </w:t>
      </w:r>
      <w:r>
        <w:rPr>
          <w:rFonts w:ascii="Calibri" w:hAnsi="Calibri" w:eastAsia="Calibri"/>
          <w:color w:val="1F2937"/>
        </w:rPr>
        <w:t>UAS Smart verbindet Einsatzplanung, Live-Einsatzzentrale, Flugbuch, Flotte, Wartung und Genehmigungen. Die Anwendung trennt den Nutzungszweck (privat, gewerblich, behördlich, Ausbildung) strikt von der rechtlich maßgeblichen Betriebskategorie (offen, speziell, zulassungspflichtig).</w:t>
      </w:r>
    </w:p>
    <w:p>
      <w:r>
        <w:rPr>
          <w:rFonts w:ascii="Calibri" w:hAnsi="Calibri" w:eastAsia="Calibri"/>
          <w:color w:val="1F2937"/>
        </w:rPr>
        <w:t>Hinweis: Dieses Dokument ist ein fachlich-technischer Produktvorschlag und keine Rechtsberatung. Vor einer produktiven Freigabe sind die Regelwerke, nationalen Besonderheiten und konkreten Betriebsgenehmigungen durch eine fachkundige Stelle zu validieren.</w:t>
      </w:r>
    </w:p>
    <w:p>
      <w:r>
        <w:br w:type="page"/>
      </w:r>
    </w:p>
    <w:p>
      <w:pPr>
        <w:pStyle w:val="Heading1"/>
      </w:pPr>
      <w:r>
        <w:t>Inhaltsübersicht</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2200"/>
        <w:gridCol w:w="7160"/>
      </w:tblGrid>
      <w:tr>
        <w:trPr>
          <w:cantSplit w:val="1"/>
          <w:tblHeader w:val="true"/>
        </w:trPr>
        <w:tc>
          <w:tcPr>
            <w:tcW w:type="dxa" w:w="22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Teil</w:t>
            </w:r>
          </w:p>
        </w:tc>
        <w:tc>
          <w:tcPr>
            <w:tcW w:type="dxa" w:w="71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Kapitel und Schwerpunkt</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Grundlagen</w:t>
            </w:r>
          </w:p>
        </w:tc>
        <w:tc>
          <w:tcPr>
            <w:tcW w:type="dxa" w:w="7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Kurzfassung · Annahmen · Begriffe · Rechtsrahmen und Produktfolgen</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Teil A – Lastenheft</w:t>
            </w:r>
          </w:p>
        </w:tc>
        <w:tc>
          <w:tcPr>
            <w:tcW w:type="dxa" w:w="7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Ziele · Rollen · Anwendungsfälle · funktionale und nichtfunktionale Anforderungen · Abgrenzung · fachliche Abnahme</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Teil B – Pflichtenheft</w:t>
            </w:r>
          </w:p>
        </w:tc>
        <w:tc>
          <w:tcPr>
            <w:tcW w:type="dxa" w:w="7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Architektur · Datenmodell · Kernabläufe · Import · Regelwerk · Einsatzplanung · Livebild · Sicherheit · Schnittstellen · Betrieb · Tests · Roadmap</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Anhänge</w:t>
            </w:r>
          </w:p>
        </w:tc>
        <w:tc>
          <w:tcPr>
            <w:tcW w:type="dxa" w:w="7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Flug- und Einsatzdatensatz · Rückverfolgbarkeit · Quellen und Rechtsstand</w:t>
            </w:r>
          </w:p>
        </w:tc>
      </w:tr>
    </w:tbl>
    <w:p>
      <w:pPr>
        <w:spacing w:after="40"/>
      </w:pPr>
    </w:p>
    <w:p>
      <w:pPr>
        <w:spacing w:before="120" w:after="200" w:line="264" w:lineRule="auto"/>
        <w:ind w:left="173" w:right="115"/>
        <w:shd w:fill="F2F4F7"/>
        <w:pBdr>
          <w:left w:val="single" w:sz="18" w:space="8" w:color="64748B"/>
        </w:pBdr>
      </w:pPr>
      <w:r>
        <w:rPr>
          <w:rFonts w:ascii="Calibri" w:hAnsi="Calibri" w:eastAsia="Calibri"/>
          <w:b/>
          <w:color w:val="64748B"/>
        </w:rPr>
        <w:t xml:space="preserve">Leselogik: </w:t>
      </w:r>
      <w:r>
        <w:rPr>
          <w:rFonts w:ascii="Calibri" w:hAnsi="Calibri" w:eastAsia="Calibri"/>
          <w:color w:val="1F2937"/>
        </w:rPr>
        <w:t>Anforderungen tragen eindeutige IDs. Muss-Anforderungen bilden den vollständigen Zielumfang; die Umsetzungsphasen teilen diesen Umfang in lieferbare Ausbaustufen. Rechts- und Quellenhinweise werden zum Stand 04.08.2026 dokumentiert.</w:t>
      </w:r>
    </w:p>
    <w:p>
      <w:r>
        <w:br w:type="page"/>
      </w:r>
    </w:p>
    <w:p>
      <w:pPr>
        <w:pStyle w:val="Heading1"/>
      </w:pPr>
      <w:r>
        <w:t>0. Kurzfassung und Empfehlung</w:t>
      </w:r>
    </w:p>
    <w:p>
      <w:r>
        <w:rPr>
          <w:rFonts w:ascii="Calibri" w:hAnsi="Calibri" w:eastAsia="Calibri"/>
          <w:color w:val="1F2937"/>
        </w:rPr>
        <w:t>Empfohlen wird UAS Smart als mandantenfähige, responsive und vollständig selbst hostbare Open-Source-Webanwendung. Sie verbindet Auftrag und Einsatzplanung, Karten- und 4D-Betriebsgebiete, Personal- und Ressourcenbelegung, Freigaben, Livebild, Flugbuch, Pilotenakten, Flotte, Wartung, Genehmigungen, Ereignisse und Herstellerimporte in einem revisionsfähigen System.</w:t>
      </w:r>
    </w:p>
    <w:p>
      <w:pPr>
        <w:spacing w:after="80" w:line="300" w:lineRule="auto"/>
        <w:numPr>
          <w:ilvl w:val="0"/>
          <w:numId w:val="10"/>
        </w:numPr>
      </w:pPr>
      <w:r>
        <w:rPr>
          <w:rFonts w:ascii="Calibri" w:hAnsi="Calibri" w:eastAsia="Calibri"/>
          <w:color w:val="1F2937"/>
        </w:rPr>
        <w:t>Für die offene Kategorie ist das Flugbuch grundsätzlich ein freiwilliger Nachweis- und Organisationsbaustein; gesetzlich verpflichtende Einzelaufzeichnungen können sich jedoch aus internen Verfahren, Versicherungsbedingungen, Auftraggeberanforderungen oder nationalen Vorgaben ergeben.</w:t>
      </w:r>
    </w:p>
    <w:p>
      <w:pPr>
        <w:spacing w:after="80" w:line="300" w:lineRule="auto"/>
        <w:numPr>
          <w:ilvl w:val="0"/>
          <w:numId w:val="10"/>
        </w:numPr>
      </w:pPr>
      <w:r>
        <w:rPr>
          <w:rFonts w:ascii="Calibri" w:hAnsi="Calibri" w:eastAsia="Calibri"/>
          <w:color w:val="1F2937"/>
        </w:rPr>
        <w:t>Für die spezielle Kategorie werden die nach UAS.SPEC.050 erforderlichen Aufzeichnungen einschließlich ungewöhnlicher technischer oder betrieblicher Vorkommnisse mindestens drei Jahre geschützt aufbewahrt; genehmigungsspezifische Zusatzfelder haben Vorrang.</w:t>
      </w:r>
    </w:p>
    <w:p>
      <w:pPr>
        <w:spacing w:after="80" w:line="300" w:lineRule="auto"/>
        <w:numPr>
          <w:ilvl w:val="0"/>
          <w:numId w:val="10"/>
        </w:numPr>
      </w:pPr>
      <w:r>
        <w:rPr>
          <w:rFonts w:ascii="Calibri" w:hAnsi="Calibri" w:eastAsia="Calibri"/>
          <w:color w:val="1F2937"/>
        </w:rPr>
        <w:t>Einsatzplanung bildet Betriebsvolumen, Kontingenzvolumen und Bodenrisikopuffer, Crew, UAS, Komponenten, Wetter, Geo-Zonen, Luftraumnachweise, Genehmigungen, Checklisten, Notfallverfahren und eine dokumentierte Freigabe ab.</w:t>
      </w:r>
    </w:p>
    <w:p>
      <w:pPr>
        <w:spacing w:after="80" w:line="300" w:lineRule="auto"/>
        <w:numPr>
          <w:ilvl w:val="0"/>
          <w:numId w:val="10"/>
        </w:numPr>
      </w:pPr>
      <w:r>
        <w:rPr>
          <w:rFonts w:ascii="Calibri" w:hAnsi="Calibri" w:eastAsia="Calibri"/>
          <w:color w:val="1F2937"/>
        </w:rPr>
        <w:t>DJI wird über versionierte, rechtlich freigegebene Import- und optionale Cloud-/SDK-Adapter angebunden. Weitere Hersteller folgen nur mit bestätigter Format- und Lizenzmatrix; offene Formate wie CSV, JSON, GPX, KML, PX4 ULog und ArduPilot DataFlash/TLOG werden bevorzugt.</w:t>
      </w:r>
    </w:p>
    <w:p>
      <w:pPr>
        <w:spacing w:after="80" w:line="300" w:lineRule="auto"/>
        <w:numPr>
          <w:ilvl w:val="0"/>
          <w:numId w:val="10"/>
        </w:numPr>
      </w:pPr>
      <w:r>
        <w:rPr>
          <w:rFonts w:ascii="Calibri" w:hAnsi="Calibri" w:eastAsia="Calibri"/>
          <w:color w:val="1F2937"/>
        </w:rPr>
        <w:t>Livevideo wird per RTMPS/RTSPS, RTSP, RTMP oder SRT angenommen und browserfähig über WebRTC bereitgestellt; HLS dient als Fallback. Aufzeichnung ist datensparsam standardmäßig ausgeschaltet und wird je Einsatz freigegeben.</w:t>
      </w:r>
    </w:p>
    <w:p>
      <w:pPr>
        <w:spacing w:after="80" w:line="300" w:lineRule="auto"/>
        <w:numPr>
          <w:ilvl w:val="0"/>
          <w:numId w:val="10"/>
        </w:numPr>
      </w:pPr>
      <w:r>
        <w:rPr>
          <w:rFonts w:ascii="Calibri" w:hAnsi="Calibri" w:eastAsia="Calibri"/>
          <w:color w:val="1F2937"/>
        </w:rPr>
        <w:t>Der Kern und die Self-Hosting-Komponenten sind Open Source. Proprietäre Herstellergeräte, DJI-Schnittstellen und externe Karten-/Wetterdienste bleiben klar getrennte optionale Integrationen.</w:t>
      </w:r>
    </w:p>
    <w:p>
      <w:pPr>
        <w:spacing w:after="80" w:line="300" w:lineRule="auto"/>
        <w:numPr>
          <w:ilvl w:val="0"/>
          <w:numId w:val="10"/>
        </w:numPr>
      </w:pPr>
      <w:r>
        <w:rPr>
          <w:rFonts w:ascii="Calibri" w:hAnsi="Calibri" w:eastAsia="Calibri"/>
          <w:color w:val="1F2937"/>
        </w:rPr>
        <w:t>Die Anwendung gibt Compliance-Hinweise, aber keine rechtsverbindliche Flugfreigabe. Unsichere oder unvollständige Flüge werden gespeichert und als Abweichung gekennzeichnet, nicht gelöscht oder verdeckt.</w:t>
      </w:r>
    </w:p>
    <w:p>
      <w:pPr>
        <w:spacing w:before="120" w:after="200" w:line="264" w:lineRule="auto"/>
        <w:ind w:left="173" w:right="115"/>
        <w:shd w:fill="FFF4D6"/>
        <w:pBdr>
          <w:left w:val="single" w:sz="18" w:space="8" w:color="9A6700"/>
        </w:pBdr>
      </w:pPr>
      <w:r>
        <w:rPr>
          <w:rFonts w:ascii="Calibri" w:hAnsi="Calibri" w:eastAsia="Calibri"/>
          <w:b/>
          <w:color w:val="9A6700"/>
        </w:rPr>
        <w:t xml:space="preserve">Aktuelle Änderung: </w:t>
      </w:r>
      <w:r>
        <w:rPr>
          <w:rFonts w:ascii="Calibri" w:hAnsi="Calibri" w:eastAsia="Calibri"/>
          <w:color w:val="1F2937"/>
        </w:rPr>
        <w:t>Die am 28.07.2026 veröffentlichte Durchführungsverordnung (EU) 2026/1821 erweitert die Liste meldepflichtiger Ereignisse um UAS- und U-Space-Ereignisse. Sie tritt am 17.08.2026 in Kraft und sollte bereits im Datenmodell und im Ereignisworkflow berücksichtigt werden.</w:t>
      </w:r>
    </w:p>
    <w:p>
      <w:pPr>
        <w:pStyle w:val="Heading1"/>
      </w:pPr>
      <w:r>
        <w:t>1. Dokumentzweck, Abgrenzung und Annahmen</w:t>
      </w:r>
    </w:p>
    <w:p>
      <w:pPr>
        <w:pStyle w:val="Heading2"/>
      </w:pPr>
      <w:r>
        <w:t>1.1 Zweck</w:t>
      </w:r>
    </w:p>
    <w:p>
      <w:r>
        <w:rPr>
          <w:rFonts w:ascii="Calibri" w:hAnsi="Calibri" w:eastAsia="Calibri"/>
          <w:color w:val="1F2937"/>
        </w:rPr>
        <w:t>Das Lastenheft beschreibt aus Sicht des Auftraggebers, welche Fähigkeiten die Anwendung benötigt. Das Pflichtenheft beschreibt die vorgeschlagene technische Umsetzung, Datenstrukturen, Arbeitsabläufe und Abnahmebedingungen. Beide Teile bilden eine belastbare Grundlage für Aufwandsschätzung, UI-Konzept, Datenbankentwurf und spätere Entwicklung.</w:t>
      </w:r>
    </w:p>
    <w:p>
      <w:pPr>
        <w:pStyle w:val="Heading2"/>
      </w:pPr>
      <w:r>
        <w:t>1.2 Annahmen für diesen Vorschlag</w:t>
      </w:r>
    </w:p>
    <w:p>
      <w:pPr>
        <w:spacing w:after="80" w:line="300" w:lineRule="auto"/>
        <w:numPr>
          <w:ilvl w:val="0"/>
          <w:numId w:val="10"/>
        </w:numPr>
      </w:pPr>
      <w:r>
        <w:rPr>
          <w:rFonts w:ascii="Calibri" w:hAnsi="Calibri" w:eastAsia="Calibri"/>
          <w:color w:val="1F2937"/>
        </w:rPr>
        <w:t>Deutschland ist das erste Einsatzland; Rechtsmodule für weitere EASA-Staaten werden versionierbar vorgesehen.</w:t>
      </w:r>
    </w:p>
    <w:p>
      <w:pPr>
        <w:spacing w:after="80" w:line="300" w:lineRule="auto"/>
        <w:numPr>
          <w:ilvl w:val="0"/>
          <w:numId w:val="10"/>
        </w:numPr>
      </w:pPr>
      <w:r>
        <w:rPr>
          <w:rFonts w:ascii="Calibri" w:hAnsi="Calibri" w:eastAsia="Calibri"/>
          <w:color w:val="1F2937"/>
        </w:rPr>
        <w:t>Das Produkt wird als responsive Webanwendung/PWA umgesetzt und kann sowohl Einzelkonten als auch Organisationen verwalten.</w:t>
      </w:r>
    </w:p>
    <w:p>
      <w:pPr>
        <w:spacing w:after="80" w:line="300" w:lineRule="auto"/>
        <w:numPr>
          <w:ilvl w:val="0"/>
          <w:numId w:val="10"/>
        </w:numPr>
      </w:pPr>
      <w:r>
        <w:rPr>
          <w:rFonts w:ascii="Calibri" w:hAnsi="Calibri" w:eastAsia="Calibri"/>
          <w:color w:val="1F2937"/>
        </w:rPr>
        <w:t>Die Anwendung steuert keine Drohne und erteilt keine behördliche Genehmigung; eine interne Einsatzfreigabe ist nur eine dokumentierte Organisationsentscheidung.</w:t>
      </w:r>
    </w:p>
    <w:p>
      <w:pPr>
        <w:spacing w:after="80" w:line="300" w:lineRule="auto"/>
        <w:numPr>
          <w:ilvl w:val="0"/>
          <w:numId w:val="10"/>
        </w:numPr>
      </w:pPr>
      <w:r>
        <w:rPr>
          <w:rFonts w:ascii="Calibri" w:hAnsi="Calibri" w:eastAsia="Calibri"/>
          <w:color w:val="1F2937"/>
        </w:rPr>
        <w:t>DJI ist der erste produktive Importweg. Eine direkte DJI-Cloud-Synchronisierung wird nur umgesetzt, wenn eine stabile, lizenzierte und dokumentierte Schnittstelle verfügbar ist.</w:t>
      </w:r>
    </w:p>
    <w:p>
      <w:pPr>
        <w:spacing w:after="80" w:line="300" w:lineRule="auto"/>
        <w:numPr>
          <w:ilvl w:val="0"/>
          <w:numId w:val="10"/>
        </w:numPr>
      </w:pPr>
      <w:r>
        <w:rPr>
          <w:rFonts w:ascii="Calibri" w:hAnsi="Calibri" w:eastAsia="Calibri"/>
          <w:color w:val="1F2937"/>
        </w:rPr>
        <w:t>Original-Fluglogs können sensible Standort- und Gerätedaten enthalten. Zusammenfassungsdaten und vollständige Telemetrie werden getrennt gespeichert und getrennt berechtigt.</w:t>
      </w:r>
    </w:p>
    <w:p>
      <w:pPr>
        <w:spacing w:after="80" w:line="300" w:lineRule="auto"/>
        <w:numPr>
          <w:ilvl w:val="0"/>
          <w:numId w:val="10"/>
        </w:numPr>
      </w:pPr>
      <w:r>
        <w:rPr>
          <w:rFonts w:ascii="Calibri" w:hAnsi="Calibri" w:eastAsia="Calibri"/>
          <w:color w:val="1F2937"/>
        </w:rPr>
        <w:t>Die zulassungspflichtige Kategorie wird im Datenmodell berücksichtigt, ist aber nicht Bestandteil der ersten Produktfreigabe.</w:t>
      </w:r>
    </w:p>
    <w:p>
      <w:pPr>
        <w:spacing w:after="80" w:line="300" w:lineRule="auto"/>
        <w:numPr>
          <w:ilvl w:val="0"/>
          <w:numId w:val="10"/>
        </w:numPr>
      </w:pPr>
      <w:r>
        <w:rPr>
          <w:rFonts w:ascii="Calibri" w:hAnsi="Calibri" w:eastAsia="Calibri"/>
          <w:color w:val="1F2937"/>
        </w:rPr>
        <w:t>UAS Smart wird unter einer Copyleft-Lizenz, vorzugsweise AGPLv3, veröffentlicht und mit Docker Compose sowie alternativ Podman selbst hostbar ausgeliefert.</w:t>
      </w:r>
    </w:p>
    <w:p>
      <w:pPr>
        <w:spacing w:after="80" w:line="300" w:lineRule="auto"/>
        <w:numPr>
          <w:ilvl w:val="0"/>
          <w:numId w:val="10"/>
        </w:numPr>
      </w:pPr>
      <w:r>
        <w:rPr>
          <w:rFonts w:ascii="Calibri" w:hAnsi="Calibri" w:eastAsia="Calibri"/>
          <w:color w:val="1F2937"/>
        </w:rPr>
        <w:t>Die Referenzinstallation läuft auf Linux mit Reverse Proxy, Django, PostgreSQL/PostGIS, Valkey, Hintergrundjobs, MediaMTX, optional coturn und lokalem oder S3-kompatiblem Objektspeicher.</w:t>
      </w:r>
    </w:p>
    <w:p>
      <w:pPr>
        <w:spacing w:after="80" w:line="300" w:lineRule="auto"/>
        <w:numPr>
          <w:ilvl w:val="0"/>
          <w:numId w:val="10"/>
        </w:numPr>
      </w:pPr>
      <w:r>
        <w:rPr>
          <w:rFonts w:ascii="Calibri" w:hAnsi="Calibri" w:eastAsia="Calibri"/>
          <w:color w:val="1F2937"/>
        </w:rPr>
        <w:t>Die vorhandene Serveranbindung umfasst 1.000 Mbit/s und 10.000 GB Monatsvolumen, danach 100 Mbit/s. CPU, RAM, Datenträger und gleichzeitige Streams werden vor Produktivsetzung vermessen.</w:t>
      </w:r>
    </w:p>
    <w:p>
      <w:pPr>
        <w:spacing w:after="80" w:line="300" w:lineRule="auto"/>
        <w:numPr>
          <w:ilvl w:val="0"/>
          <w:numId w:val="10"/>
        </w:numPr>
      </w:pPr>
      <w:r>
        <w:rPr>
          <w:rFonts w:ascii="Calibri" w:hAnsi="Calibri" w:eastAsia="Calibri"/>
          <w:color w:val="1F2937"/>
        </w:rPr>
        <w:t>Alle rechtlichen Regeln erhalten Gültigkeitszeitraum, Jurisdiktion und Quellenstand; es gibt keine fest in Quellcode eingebauten, unversionierten Rechtsaussagen.</w:t>
      </w:r>
    </w:p>
    <w:p>
      <w:pPr>
        <w:spacing w:after="80" w:line="300" w:lineRule="auto"/>
        <w:numPr>
          <w:ilvl w:val="0"/>
          <w:numId w:val="10"/>
        </w:numPr>
      </w:pPr>
      <w:r>
        <w:rPr>
          <w:rFonts w:ascii="Calibri" w:hAnsi="Calibri" w:eastAsia="Calibri"/>
          <w:color w:val="1F2937"/>
        </w:rPr>
        <w:t>Das System muss vergangene oder möglicherweise nicht regelkonforme Flüge dokumentieren können. Es darf solche Einträge nicht verhindern, sondern muss Abweichungen transparent ausweisen.</w:t>
      </w:r>
    </w:p>
    <w:p>
      <w:pPr>
        <w:pStyle w:val="Heading2"/>
      </w:pPr>
      <w:r>
        <w:t>1.3 Begriffe</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2100"/>
        <w:gridCol w:w="7260"/>
      </w:tblGrid>
      <w:tr>
        <w:trPr>
          <w:cantSplit w:val="1"/>
          <w:tblHeader w:val="true"/>
        </w:trPr>
        <w:tc>
          <w:tcPr>
            <w:tcW w:type="dxa" w:w="21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Begriff</w:t>
            </w:r>
          </w:p>
        </w:tc>
        <w:tc>
          <w:tcPr>
            <w:tcW w:type="dxa" w:w="72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Verwendung in diesem Dokument</w:t>
            </w:r>
          </w:p>
        </w:tc>
      </w:tr>
      <w:tr>
        <w:trPr>
          <w:cantSplit w:val="1"/>
        </w:trPr>
        <w:tc>
          <w:tcPr>
            <w:tcW w:type="dxa" w:w="21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UAS-Betreiber</w:t>
            </w:r>
          </w:p>
        </w:tc>
        <w:tc>
          <w:tcPr>
            <w:tcW w:type="dxa" w:w="72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Natürliche oder juristische Person, die den UAS-Betrieb verantwortet.</w:t>
            </w:r>
          </w:p>
        </w:tc>
      </w:tr>
      <w:tr>
        <w:trPr>
          <w:cantSplit w:val="1"/>
        </w:trPr>
        <w:tc>
          <w:tcPr>
            <w:tcW w:type="dxa" w:w="21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Fernpilot</w:t>
            </w:r>
          </w:p>
        </w:tc>
        <w:tc>
          <w:tcPr>
            <w:tcW w:type="dxa" w:w="72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Person, die einen Flug verantwortlich durchführt oder überwacht.</w:t>
            </w:r>
          </w:p>
        </w:tc>
      </w:tr>
      <w:tr>
        <w:trPr>
          <w:cantSplit w:val="1"/>
        </w:trPr>
        <w:tc>
          <w:tcPr>
            <w:tcW w:type="dxa" w:w="21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Flug</w:t>
            </w:r>
          </w:p>
        </w:tc>
        <w:tc>
          <w:tcPr>
            <w:tcW w:type="dxa" w:w="72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 Start-Lande-Zyklus; mehrere Teilflüge können zu einem Einsatz/Auftrag gruppiert werden.</w:t>
            </w:r>
          </w:p>
        </w:tc>
      </w:tr>
      <w:tr>
        <w:trPr>
          <w:cantSplit w:val="1"/>
        </w:trPr>
        <w:tc>
          <w:tcPr>
            <w:tcW w:type="dxa" w:w="21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Einsatz/Auftrag</w:t>
            </w:r>
          </w:p>
        </w:tc>
        <w:tc>
          <w:tcPr>
            <w:tcW w:type="dxa" w:w="72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Fachlicher Container für einen oder mehrere Flüge, z. B. Inspektion oder Fototermin.</w:t>
            </w:r>
          </w:p>
        </w:tc>
      </w:tr>
      <w:tr>
        <w:trPr>
          <w:cantSplit w:val="1"/>
        </w:trPr>
        <w:tc>
          <w:tcPr>
            <w:tcW w:type="dxa" w:w="21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Betriebsvolumen</w:t>
            </w:r>
          </w:p>
        </w:tc>
        <w:tc>
          <w:tcPr>
            <w:tcW w:type="dxa" w:w="72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Geplanter räumlich-zeitlicher Bereich des Betriebs einschließlich Flug- und Kontingenzvolumen; der Bodenrisikopuffer wird separat geführt.</w:t>
            </w:r>
          </w:p>
        </w:tc>
      </w:tr>
      <w:tr>
        <w:trPr>
          <w:cantSplit w:val="1"/>
        </w:trPr>
        <w:tc>
          <w:tcPr>
            <w:tcW w:type="dxa" w:w="21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Einsatzfreigabe</w:t>
            </w:r>
          </w:p>
        </w:tc>
        <w:tc>
          <w:tcPr>
            <w:tcW w:type="dxa" w:w="72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Interne, auditierte Entscheidung, dass die hinterlegten Planungs- und Organisationsregeln erfüllt oder Abweichungen bewusst akzeptiert sind.</w:t>
            </w:r>
          </w:p>
        </w:tc>
      </w:tr>
      <w:tr>
        <w:trPr>
          <w:cantSplit w:val="1"/>
        </w:trPr>
        <w:tc>
          <w:tcPr>
            <w:tcW w:type="dxa" w:w="21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Stream-Session</w:t>
            </w:r>
          </w:p>
        </w:tc>
        <w:tc>
          <w:tcPr>
            <w:tcW w:type="dxa" w:w="72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Zeitlich begrenzte Liveübertragung, die genau einem Einsatz und festgelegten Zuschauern zugeordnet ist.</w:t>
            </w:r>
          </w:p>
        </w:tc>
      </w:tr>
      <w:tr>
        <w:trPr>
          <w:cantSplit w:val="1"/>
        </w:trPr>
        <w:tc>
          <w:tcPr>
            <w:tcW w:type="dxa" w:w="21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Rohlog</w:t>
            </w:r>
          </w:p>
        </w:tc>
        <w:tc>
          <w:tcPr>
            <w:tcW w:type="dxa" w:w="72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Unveränderte Herstellerdatei oder Exportdatei einschließlich Prüfwert und Herkunft.</w:t>
            </w:r>
          </w:p>
        </w:tc>
      </w:tr>
      <w:tr>
        <w:trPr>
          <w:cantSplit w:val="1"/>
        </w:trPr>
        <w:tc>
          <w:tcPr>
            <w:tcW w:type="dxa" w:w="21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Flugdatensatz</w:t>
            </w:r>
          </w:p>
        </w:tc>
        <w:tc>
          <w:tcPr>
            <w:tcW w:type="dxa" w:w="72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Normalisierte, prüfbare Zusammenfassung eines Fluges mit optionaler Telemetrie.</w:t>
            </w:r>
          </w:p>
        </w:tc>
      </w:tr>
      <w:tr>
        <w:trPr>
          <w:cantSplit w:val="1"/>
        </w:trPr>
        <w:tc>
          <w:tcPr>
            <w:tcW w:type="dxa" w:w="21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Abschluss</w:t>
            </w:r>
          </w:p>
        </w:tc>
        <w:tc>
          <w:tcPr>
            <w:tcW w:type="dxa" w:w="72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Fachliche Bestätigung eines Flugdatensatzes; spätere Änderungen erzeugen Revisionen.</w:t>
            </w:r>
          </w:p>
        </w:tc>
      </w:tr>
    </w:tbl>
    <w:p>
      <w:pPr>
        <w:spacing w:after="40"/>
      </w:pPr>
    </w:p>
    <w:p>
      <w:pPr>
        <w:pStyle w:val="Heading1"/>
      </w:pPr>
      <w:r>
        <w:t>2. Rechtlicher Rahmen und Produktfolgen</w:t>
      </w:r>
    </w:p>
    <w:p>
      <w:r>
        <w:rPr>
          <w:rFonts w:ascii="Calibri" w:hAnsi="Calibri" w:eastAsia="Calibri"/>
          <w:color w:val="1F2937"/>
        </w:rPr>
        <w:t>Der Rechtsrahmen ist als Anforderungstreiber zu verstehen. Er ersetzt keine Einzelfallprüfung. Für jeden Flug müssen zusätzlich nationale geografische Gebiete, lokale Auflagen, die konkrete Betriebserklärung oder -genehmigung und gegebenenfalls Auftraggeber- und Versicherungsbedingungen berücksichtigt werden.</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1800"/>
        <w:gridCol w:w="3460"/>
        <w:gridCol w:w="4100"/>
      </w:tblGrid>
      <w:tr>
        <w:trPr>
          <w:cantSplit w:val="1"/>
          <w:tblHeader w:val="true"/>
        </w:trPr>
        <w:tc>
          <w:tcPr>
            <w:tcW w:type="dxa" w:w="18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Regelbereich</w:t>
            </w:r>
          </w:p>
        </w:tc>
        <w:tc>
          <w:tcPr>
            <w:tcW w:type="dxa" w:w="34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Feststellung</w:t>
            </w:r>
          </w:p>
        </w:tc>
        <w:tc>
          <w:tcPr>
            <w:tcW w:type="dxa" w:w="41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Folge für die Anwendung</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EU-Kategorien</w:t>
            </w:r>
          </w:p>
        </w:tc>
        <w:tc>
          <w:tcPr>
            <w:tcW w:type="dxa" w:w="34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Maßgeblich sind offen, speziell und zulassungspflichtig; privat/gewerblich ist kein eigener Risikostatus.</w:t>
            </w:r>
          </w:p>
        </w:tc>
        <w:tc>
          <w:tcPr>
            <w:tcW w:type="dxa" w:w="41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Getrennte Felder für Nutzungszweck und Betriebskategorie; keine automatische Gleichsetzung.</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Offene Kategorie</w:t>
            </w:r>
          </w:p>
        </w:tc>
        <w:tc>
          <w:tcPr>
            <w:tcW w:type="dxa" w:w="34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Keine allgemeine EU-Pflicht zur Einzel-Flugbuchführung; Betreiber muss u. a. Fernpiloten benennen, Geozoneninformationen bereitstellen und sichere Verfahren gewährleisten.</w:t>
            </w:r>
          </w:p>
        </w:tc>
        <w:tc>
          <w:tcPr>
            <w:tcW w:type="dxa" w:w="41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Flugbuch als freiwilliger Nachweis; dynamische Kennzeichnung empfohlen/verpflichtend aus anderen Quellen.</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Spezielle Kategorie</w:t>
            </w:r>
          </w:p>
        </w:tc>
        <w:tc>
          <w:tcPr>
            <w:tcW w:type="dxa" w:w="34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Qualifikation/Training, Wartung und Betriebsinformationen einschließlich ungewöhnlicher Vorkommnisse sind grundsätzlich mindestens drei Jahre aufzubewahren.</w:t>
            </w:r>
          </w:p>
        </w:tc>
        <w:tc>
          <w:tcPr>
            <w:tcW w:type="dxa" w:w="41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Pflichtfelder, Aufbewahrungssperre, Genehmigungsbezug und geschützte Auditspur.</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Genehmigungsakten</w:t>
            </w:r>
          </w:p>
        </w:tc>
        <w:tc>
          <w:tcPr>
            <w:tcW w:type="dxa" w:w="34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Aktuelle EASA-AMC sehen für Anträge/Unterlagen mindestens zwei Jahre nach Ablauf oder Ablehnung vor.</w:t>
            </w:r>
          </w:p>
        </w:tc>
        <w:tc>
          <w:tcPr>
            <w:tcW w:type="dxa" w:w="41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Eigener Dokumenttyp mit Fristberechnung ab Ablauf/Ablehnung.</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Ereignismeldung</w:t>
            </w:r>
          </w:p>
        </w:tc>
        <w:tc>
          <w:tcPr>
            <w:tcW w:type="dxa" w:w="34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Meldepflichtige Ereignisse sind grundsätzlich innerhalb von 72 Stunden nach Kenntnis zu melden; EU 2026/1821 ergänzt UAS-spezifische Ereignisse ab 17.08.2026.</w:t>
            </w:r>
          </w:p>
        </w:tc>
        <w:tc>
          <w:tcPr>
            <w:tcW w:type="dxa" w:w="41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Triage, Fristtimer, Eskalation und exportierbarer Meldeentwurf; kein ungeprüfter Auto-Versand.</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Datenschutz</w:t>
            </w:r>
          </w:p>
        </w:tc>
        <w:tc>
          <w:tcPr>
            <w:tcW w:type="dxa" w:w="34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DSGVO-Grundsätze und Datenschutz durch Technikgestaltung gelten bei personenbezogenen Daten, insbesondere Standort-, Piloten- und Kundendaten.</w:t>
            </w:r>
          </w:p>
        </w:tc>
        <w:tc>
          <w:tcPr>
            <w:tcW w:type="dxa" w:w="41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Datensparsamkeit, getrennte Telemetrie, Rollenrechte, Löschkonzept, Export und Protokollierung.</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Deutschland</w:t>
            </w:r>
          </w:p>
        </w:tc>
        <w:tc>
          <w:tcPr>
            <w:tcW w:type="dxa" w:w="34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Halterhaftpflichtversicherung und nationale geografische Gebiete sind zu beachten.</w:t>
            </w:r>
          </w:p>
        </w:tc>
        <w:tc>
          <w:tcPr>
            <w:tcW w:type="dxa" w:w="41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Versicherungsnachweis mit Gültigkeit; Geozonenprüfung als dokumentierter Nachweis, nicht als Freigabegarantie.</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SORA 2.5 / spezielle Kategorie</w:t>
            </w:r>
          </w:p>
        </w:tc>
        <w:tc>
          <w:tcPr>
            <w:tcW w:type="dxa" w:w="34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Die EASA-Regeln und AMC/GM fordern eine strukturierte Beschreibung von Betrieb, Umgebung, Rollen, Betriebsvolumen, Kontingenzen und Risikominderungen.</w:t>
            </w:r>
          </w:p>
        </w:tc>
        <w:tc>
          <w:tcPr>
            <w:tcW w:type="dxa" w:w="41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Planungsdaten, ConOps/SORA-/PDRA-Bezug, Freigabekriterien und Evidenzen versioniert speichern.</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U-Space</w:t>
            </w:r>
          </w:p>
        </w:tc>
        <w:tc>
          <w:tcPr>
            <w:tcW w:type="dxa" w:w="34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Eine U-Space-Flugautorisierung ist von der betrieblichen Genehmigung zu unterscheiden; die geplante Flugbahn kann zeitlich und räumlich als 4D-Trajektorie relevant sein.</w:t>
            </w:r>
          </w:p>
        </w:tc>
        <w:tc>
          <w:tcPr>
            <w:tcW w:type="dxa" w:w="41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Eigener Genehmigungstyp, 4D-Planung, Status und Aktualisierungen; keine Gleichsetzung mit Betriebsfreigabe.</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Livebild/Video</w:t>
            </w:r>
          </w:p>
        </w:tc>
        <w:tc>
          <w:tcPr>
            <w:tcW w:type="dxa" w:w="34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Bild-, Standort- und Zuschauerinformationen können personenbezogene oder vertrauliche Daten enthalten.</w:t>
            </w:r>
          </w:p>
        </w:tc>
        <w:tc>
          <w:tcPr>
            <w:tcW w:type="dxa" w:w="41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Zweck, Rechtsgrundlage, Zugriff, Aufzeichnung, Löschfrist und Offenlegung je Einsatz steuern und auditieren.</w:t>
            </w:r>
          </w:p>
        </w:tc>
      </w:tr>
    </w:tbl>
    <w:p>
      <w:pPr>
        <w:spacing w:after="40"/>
      </w:pPr>
    </w:p>
    <w:p>
      <w:pPr>
        <w:spacing w:before="120" w:after="200" w:line="264" w:lineRule="auto"/>
        <w:ind w:left="173" w:right="115"/>
        <w:shd w:fill="FDECEC"/>
        <w:pBdr>
          <w:left w:val="single" w:sz="18" w:space="8" w:color="9B1C1C"/>
        </w:pBdr>
      </w:pPr>
      <w:r>
        <w:rPr>
          <w:rFonts w:ascii="Calibri" w:hAnsi="Calibri" w:eastAsia="Calibri"/>
          <w:b/>
          <w:color w:val="9B1C1C"/>
        </w:rPr>
        <w:t xml:space="preserve">Wichtige Auslegung: </w:t>
      </w:r>
      <w:r>
        <w:rPr>
          <w:rFonts w:ascii="Calibri" w:hAnsi="Calibri" w:eastAsia="Calibri"/>
          <w:color w:val="1F2937"/>
        </w:rPr>
        <w:t>Ein automatisch importiertes Herstellerlog belegt technische Daten, aber nicht automatisch die Einhaltung des Rechts. Kategorie, Genehmigung, Pilot, Zweck, Geozonenprüfung und Besonderheiten müssen fachlich bestätigt oder ergänzt werden.</w:t>
      </w:r>
    </w:p>
    <w:p>
      <w:pPr>
        <w:pStyle w:val="Heading1"/>
      </w:pPr>
      <w:r>
        <w:t>TEIL A - LASTENHEFT</w:t>
      </w:r>
    </w:p>
    <w:p>
      <w:r>
        <w:rPr>
          <w:rFonts w:ascii="Calibri" w:hAnsi="Calibri" w:eastAsia="Calibri"/>
          <w:color w:val="1F2937"/>
        </w:rPr>
        <w:t>Der folgende Teil beschreibt die fachlichen Anforderungen aus Anwender- und Auftraggebersicht.</w:t>
      </w:r>
    </w:p>
    <w:p>
      <w:pPr>
        <w:pStyle w:val="Heading1"/>
      </w:pPr>
      <w:r>
        <w:t>3. Produktziele und Zielgruppen</w:t>
      </w:r>
    </w:p>
    <w:p>
      <w:pPr>
        <w:pStyle w:val="Heading2"/>
      </w:pPr>
      <w:r>
        <w:t>3.1 Ziele</w:t>
      </w:r>
    </w:p>
    <w:p>
      <w:pPr>
        <w:spacing w:after="80" w:line="300" w:lineRule="auto"/>
        <w:numPr>
          <w:ilvl w:val="0"/>
          <w:numId w:val="10"/>
        </w:numPr>
      </w:pPr>
      <w:r>
        <w:rPr>
          <w:rFonts w:ascii="Calibri" w:hAnsi="Calibri" w:eastAsia="Calibri"/>
          <w:color w:val="1F2937"/>
        </w:rPr>
        <w:t>Vom Auftrag über Planung, Freigabe, Livebetrieb und Nachbereitung bis zum abgeschlossenen Flugdatensatz einen durchgängigen, prüfbaren Lebenszyklus schaffen.</w:t>
      </w:r>
    </w:p>
    <w:p>
      <w:pPr>
        <w:spacing w:after="80" w:line="300" w:lineRule="auto"/>
        <w:numPr>
          <w:ilvl w:val="0"/>
          <w:numId w:val="10"/>
        </w:numPr>
      </w:pPr>
      <w:r>
        <w:rPr>
          <w:rFonts w:ascii="Calibri" w:hAnsi="Calibri" w:eastAsia="Calibri"/>
          <w:color w:val="1F2937"/>
        </w:rPr>
        <w:t>Alle Flüge, Piloten, Drohnen, Batterien, Genehmigungen, Wartungen, Streams und Ereignisse nachvollziehbar an einem Ort verwalten.</w:t>
      </w:r>
    </w:p>
    <w:p>
      <w:pPr>
        <w:spacing w:after="80" w:line="300" w:lineRule="auto"/>
        <w:numPr>
          <w:ilvl w:val="0"/>
          <w:numId w:val="10"/>
        </w:numPr>
      </w:pPr>
      <w:r>
        <w:rPr>
          <w:rFonts w:ascii="Calibri" w:hAnsi="Calibri" w:eastAsia="Calibri"/>
          <w:color w:val="1F2937"/>
        </w:rPr>
        <w:t>Herstellerdaten ohne manuelles Abtippen importieren, gleichzeitig aber prüfbar und korrigierbar halten.</w:t>
      </w:r>
    </w:p>
    <w:p>
      <w:pPr>
        <w:spacing w:after="80" w:line="300" w:lineRule="auto"/>
        <w:numPr>
          <w:ilvl w:val="0"/>
          <w:numId w:val="10"/>
        </w:numPr>
      </w:pPr>
      <w:r>
        <w:rPr>
          <w:rFonts w:ascii="Calibri" w:hAnsi="Calibri" w:eastAsia="Calibri"/>
          <w:color w:val="1F2937"/>
        </w:rPr>
        <w:t>Private Nutzer nicht mit unnötigen Organisationsfunktionen überlasten und professionelle Betreiber dennoch vollständig abbilden.</w:t>
      </w:r>
    </w:p>
    <w:p>
      <w:pPr>
        <w:spacing w:after="80" w:line="300" w:lineRule="auto"/>
        <w:numPr>
          <w:ilvl w:val="0"/>
          <w:numId w:val="10"/>
        </w:numPr>
      </w:pPr>
      <w:r>
        <w:rPr>
          <w:rFonts w:ascii="Calibri" w:hAnsi="Calibri" w:eastAsia="Calibri"/>
          <w:color w:val="1F2937"/>
        </w:rPr>
        <w:t>Nachweise für Behörden, Versicherer, Auftraggeber und interne Audits reproduzierbar exportieren.</w:t>
      </w:r>
    </w:p>
    <w:p>
      <w:pPr>
        <w:spacing w:after="80" w:line="300" w:lineRule="auto"/>
        <w:numPr>
          <w:ilvl w:val="0"/>
          <w:numId w:val="10"/>
        </w:numPr>
      </w:pPr>
      <w:r>
        <w:rPr>
          <w:rFonts w:ascii="Calibri" w:hAnsi="Calibri" w:eastAsia="Calibri"/>
          <w:color w:val="1F2937"/>
        </w:rPr>
        <w:t>Fristen, ablaufende Nachweise, offene Mängel und fehlende Pflichtangaben frühzeitig sichtbar machen.</w:t>
      </w:r>
    </w:p>
    <w:p>
      <w:pPr>
        <w:spacing w:after="80" w:line="300" w:lineRule="auto"/>
        <w:numPr>
          <w:ilvl w:val="0"/>
          <w:numId w:val="10"/>
        </w:numPr>
      </w:pPr>
      <w:r>
        <w:rPr>
          <w:rFonts w:ascii="Calibri" w:hAnsi="Calibri" w:eastAsia="Calibri"/>
          <w:color w:val="1F2937"/>
        </w:rPr>
        <w:t>Datenschutz und Integrität der Standort- und Betriebsdaten von Anfang an technisch absichern.</w:t>
      </w:r>
    </w:p>
    <w:p>
      <w:pPr>
        <w:spacing w:after="80" w:line="300" w:lineRule="auto"/>
        <w:numPr>
          <w:ilvl w:val="0"/>
          <w:numId w:val="10"/>
        </w:numPr>
      </w:pPr>
      <w:r>
        <w:rPr>
          <w:rFonts w:ascii="Calibri" w:hAnsi="Calibri" w:eastAsia="Calibri"/>
          <w:color w:val="1F2937"/>
        </w:rPr>
        <w:t>Ohne verpflichtende Hersteller-Cloud oder laufende Softwarelizenz auf eigener Infrastruktur betrieben, gesichert und aktualisiert werden können.</w:t>
      </w:r>
    </w:p>
    <w:p>
      <w:pPr>
        <w:pStyle w:val="Heading2"/>
      </w:pPr>
      <w:r>
        <w:t>3.2 Zielgruppen und Rollen</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1900"/>
        <w:gridCol w:w="3900"/>
        <w:gridCol w:w="3560"/>
      </w:tblGrid>
      <w:tr>
        <w:trPr>
          <w:cantSplit w:val="1"/>
          <w:tblHeader w:val="true"/>
        </w:trPr>
        <w:tc>
          <w:tcPr>
            <w:tcW w:type="dxa" w:w="19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Rolle</w:t>
            </w:r>
          </w:p>
        </w:tc>
        <w:tc>
          <w:tcPr>
            <w:tcW w:type="dxa" w:w="39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Bedarf</w:t>
            </w:r>
          </w:p>
        </w:tc>
        <w:tc>
          <w:tcPr>
            <w:tcW w:type="dxa" w:w="35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Typische Rechte</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Privatnutzer</w:t>
            </w:r>
          </w:p>
        </w:tc>
        <w:tc>
          <w:tcPr>
            <w:tcW w:type="dxa" w:w="3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Schnelles Flugbuch, DJI-Import, Nachweise und Statistik.</w:t>
            </w:r>
          </w:p>
        </w:tc>
        <w:tc>
          <w:tcPr>
            <w:tcW w:type="dxa" w:w="35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Eigene Stammdaten, Flüge, Exporte.</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UAS-Betreiber/Admin</w:t>
            </w:r>
          </w:p>
        </w:tc>
        <w:tc>
          <w:tcPr>
            <w:tcW w:type="dxa" w:w="3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Organisation, Compliance, Freigaben und Gesamtübersicht.</w:t>
            </w:r>
          </w:p>
        </w:tc>
        <w:tc>
          <w:tcPr>
            <w:tcW w:type="dxa" w:w="35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Alle Mandantendaten, Rollen, Regeln, Abschluss.</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Fernpilot</w:t>
            </w:r>
          </w:p>
        </w:tc>
        <w:tc>
          <w:tcPr>
            <w:tcW w:type="dxa" w:w="3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Flüge erfassen/importieren, Checklisten und Besonderheiten dokumentieren.</w:t>
            </w:r>
          </w:p>
        </w:tc>
        <w:tc>
          <w:tcPr>
            <w:tcW w:type="dxa" w:w="35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Eigene/zugewiesene Flüge; keine globale Administration.</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Betriebsleiter/Dispatcher</w:t>
            </w:r>
          </w:p>
        </w:tc>
        <w:tc>
          <w:tcPr>
            <w:tcW w:type="dxa" w:w="3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Aufträge planen, Crew und Luftfahrzeuge zuordnen, Nachweise prüfen.</w:t>
            </w:r>
          </w:p>
        </w:tc>
        <w:tc>
          <w:tcPr>
            <w:tcW w:type="dxa" w:w="35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Einsätze, Planung, Freigabe-Workflow.</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Einsatzleiter</w:t>
            </w:r>
          </w:p>
        </w:tc>
        <w:tc>
          <w:tcPr>
            <w:tcW w:type="dxa" w:w="3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Lage, Livebild, Checklisten, Abweichungen und Abbruchentscheidung führen.</w:t>
            </w:r>
          </w:p>
        </w:tc>
        <w:tc>
          <w:tcPr>
            <w:tcW w:type="dxa" w:w="35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Freigegebene Einsätze starten, pausieren, abbrechen und abschließen.</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Beobachter/Crew</w:t>
            </w:r>
          </w:p>
        </w:tc>
        <w:tc>
          <w:tcPr>
            <w:tcW w:type="dxa" w:w="3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Briefing, Rolle und Checklisten auf Mobilgeräten bestätigen.</w:t>
            </w:r>
          </w:p>
        </w:tc>
        <w:tc>
          <w:tcPr>
            <w:tcW w:type="dxa" w:w="35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Nur zugewiesene Einsätze und ausdrücklich freigegebene Daten.</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Instandhaltung</w:t>
            </w:r>
          </w:p>
        </w:tc>
        <w:tc>
          <w:tcPr>
            <w:tcW w:type="dxa" w:w="3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Mängel, Wartung, Komponenten und Freigaben pflegen.</w:t>
            </w:r>
          </w:p>
        </w:tc>
        <w:tc>
          <w:tcPr>
            <w:tcW w:type="dxa" w:w="35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Technische Akten; keine Kundendaten ohne Bedarf.</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Compliance/Auditor</w:t>
            </w:r>
          </w:p>
        </w:tc>
        <w:tc>
          <w:tcPr>
            <w:tcW w:type="dxa" w:w="3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Unveränderte Nachweise und Änderungshistorie prüfen.</w:t>
            </w:r>
          </w:p>
        </w:tc>
        <w:tc>
          <w:tcPr>
            <w:tcW w:type="dxa" w:w="35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Lesen, exportieren, Prüfvermerke; keine Löschung.</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Livebild-Zuschauer/Gast</w:t>
            </w:r>
          </w:p>
        </w:tc>
        <w:tc>
          <w:tcPr>
            <w:tcW w:type="dxa" w:w="3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Freigegebenes Einsatzbild zeitlich begrenzt ansehen.</w:t>
            </w:r>
          </w:p>
        </w:tc>
        <w:tc>
          <w:tcPr>
            <w:tcW w:type="dxa" w:w="35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Nur konkrete Stream-Session; keine Flug- oder Stammdaten.</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Datenschutz/Sicherheit</w:t>
            </w:r>
          </w:p>
        </w:tc>
        <w:tc>
          <w:tcPr>
            <w:tcW w:type="dxa" w:w="3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Zwecke, Löschfristen, Zugriffe und Vorfälle überwachen.</w:t>
            </w:r>
          </w:p>
        </w:tc>
        <w:tc>
          <w:tcPr>
            <w:tcW w:type="dxa" w:w="35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Richtlinien und Audit; kein operatives Ändern von Flügen.</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Plattform-Admin</w:t>
            </w:r>
          </w:p>
        </w:tc>
        <w:tc>
          <w:tcPr>
            <w:tcW w:type="dxa" w:w="3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Mandanten, Betrieb, Support und Updates verwalten.</w:t>
            </w:r>
          </w:p>
        </w:tc>
        <w:tc>
          <w:tcPr>
            <w:tcW w:type="dxa" w:w="35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Technischer Betrieb ohne standardmäßigen Inhaltszugriff.</w:t>
            </w:r>
          </w:p>
        </w:tc>
      </w:tr>
    </w:tbl>
    <w:p>
      <w:pPr>
        <w:spacing w:after="40"/>
      </w:pPr>
    </w:p>
    <w:p>
      <w:pPr>
        <w:pStyle w:val="Heading1"/>
      </w:pPr>
      <w:r>
        <w:t>4. Fachliche Anwendungsfälle</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1250"/>
        <w:gridCol w:w="8110"/>
      </w:tblGrid>
      <w:tr>
        <w:trPr>
          <w:cantSplit w:val="1"/>
          <w:tblHeader w:val="true"/>
        </w:trPr>
        <w:tc>
          <w:tcPr>
            <w:tcW w:type="dxa" w:w="125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ID</w:t>
            </w:r>
          </w:p>
        </w:tc>
        <w:tc>
          <w:tcPr>
            <w:tcW w:type="dxa" w:w="811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Anwendungsfall</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UC-01</w:t>
            </w:r>
          </w:p>
        </w:tc>
        <w:tc>
          <w:tcPr>
            <w:tcW w:type="dxa" w:w="811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 Privatnutzer importiert den FlightRecord-Ordner aus DJI Fly, ordnet die Drohne zu und ergänzt Kategorie und Notiz.</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UC-02</w:t>
            </w:r>
          </w:p>
        </w:tc>
        <w:tc>
          <w:tcPr>
            <w:tcW w:type="dxa" w:w="811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 gewerblicher Betreiber plant einen Auftrag mit mehreren Flügen, zwei Piloten, Beobachter, Freigaben und Kundenreferenz.</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UC-03</w:t>
            </w:r>
          </w:p>
        </w:tc>
        <w:tc>
          <w:tcPr>
            <w:tcW w:type="dxa" w:w="811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 Pilot erfasst einen Flug ohne Herstellerlog offline und synchronisiert ihn später.</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UC-04</w:t>
            </w:r>
          </w:p>
        </w:tc>
        <w:tc>
          <w:tcPr>
            <w:tcW w:type="dxa" w:w="811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 Import erkennt denselben Flug erneut und verhindert ein unbemerktes Duplikat.</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UC-05</w:t>
            </w:r>
          </w:p>
        </w:tc>
        <w:tc>
          <w:tcPr>
            <w:tcW w:type="dxa" w:w="811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 Flug in der speziellen Kategorie kann erst als vollständig gelten, wenn Genehmigung, UAS, Fernpilot, Zeit/Ort, Prüfung und Vorkommnisse erfasst sind.</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UC-06</w:t>
            </w:r>
          </w:p>
        </w:tc>
        <w:tc>
          <w:tcPr>
            <w:tcW w:type="dxa" w:w="811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 Defekt sperrt das Luftfahrzeug oder die Batterie für neue Einsätze, ohne vergangene Flüge zu verändern.</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UC-07</w:t>
            </w:r>
          </w:p>
        </w:tc>
        <w:tc>
          <w:tcPr>
            <w:tcW w:type="dxa" w:w="811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 Ereignis löst eine fachliche Triage und gegebenenfalls einen 72-Stunden-Timer aus.</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UC-08</w:t>
            </w:r>
          </w:p>
        </w:tc>
        <w:tc>
          <w:tcPr>
            <w:tcW w:type="dxa" w:w="811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 Auditor exportiert einen signierten Prüfbericht mit Flugdaten, Rohlog-Prüfwert, Genehmigung und Revisionshistorie.</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UC-09</w:t>
            </w:r>
          </w:p>
        </w:tc>
        <w:tc>
          <w:tcPr>
            <w:tcW w:type="dxa" w:w="811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 Unternehmen wertet Pilotenstunden, Flugzyklen, Batterienutzung, Aufträge und Abweichungen aus.</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UC-10</w:t>
            </w:r>
          </w:p>
        </w:tc>
        <w:tc>
          <w:tcPr>
            <w:tcW w:type="dxa" w:w="811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 Nutzer exportiert alle eigenen Daten maschinenlesbar und beantragt datenschutzkonforme Löschung, soweit keine Aufbewahrungspflicht entgegensteht.</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UC-11</w:t>
            </w:r>
          </w:p>
        </w:tc>
        <w:tc>
          <w:tcPr>
            <w:tcW w:type="dxa" w:w="811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 Dispatcher plant Betriebsvolumen, Kontingenzvolumen und Bodenrisikopuffer auf der Karte, reserviert Crew und Ausrüstung und dokumentiert Wetter-, Geo-Zonen- und Luftraumnachweise.</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UC-12</w:t>
            </w:r>
          </w:p>
        </w:tc>
        <w:tc>
          <w:tcPr>
            <w:tcW w:type="dxa" w:w="811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Die Freigabeprüfung blockiert den Status 'einsatzbereit', weil eine Batterie gesperrt, der Versicherungsnachweis abgelaufen und eine Genehmigung am Einsatztag nicht mehr gültig ist.</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UC-13</w:t>
            </w:r>
          </w:p>
        </w:tc>
        <w:tc>
          <w:tcPr>
            <w:tcW w:type="dxa" w:w="811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DJI Pilot 2 oder ein anderer Sender veröffentlicht ein Livebild; UAS Smart ordnet den Stream einem laufenden Einsatz zu und zeigt ihn berechtigten Nutzern per WebRTC.</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UC-14</w:t>
            </w:r>
          </w:p>
        </w:tc>
        <w:tc>
          <w:tcPr>
            <w:tcW w:type="dxa" w:w="811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 Einsatzleiter erstellt einen Standbildnachweis; Videoaufzeichnung bleibt ausgeschaltet, bis Zweck, Zugriff und Löschfrist ausdrücklich bestätigt wurden.</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UC-15</w:t>
            </w:r>
          </w:p>
        </w:tc>
        <w:tc>
          <w:tcPr>
            <w:tcW w:type="dxa" w:w="811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 Administrator installiert ein signiertes Update über die Weboberfläche, prüft vorher Backup und Migration und kann bei Fehlschlag auf den letzten funktionsfähigen Stand zurückkehren.</w:t>
            </w:r>
          </w:p>
        </w:tc>
      </w:tr>
    </w:tbl>
    <w:p>
      <w:pPr>
        <w:spacing w:after="40"/>
      </w:pPr>
    </w:p>
    <w:p>
      <w:pPr>
        <w:pStyle w:val="Heading1"/>
      </w:pPr>
      <w:r>
        <w:t>5. Funktionale Anforderungen</w:t>
      </w:r>
    </w:p>
    <w:p>
      <w:pPr>
        <w:spacing w:before="120" w:after="200" w:line="264" w:lineRule="auto"/>
        <w:ind w:left="173" w:right="115"/>
        <w:shd w:fill="F2F4F7"/>
        <w:pBdr>
          <w:left w:val="single" w:sz="18" w:space="8" w:color="64748B"/>
        </w:pBdr>
      </w:pPr>
      <w:r>
        <w:rPr>
          <w:rFonts w:ascii="Calibri" w:hAnsi="Calibri" w:eastAsia="Calibri"/>
          <w:b/>
          <w:color w:val="64748B"/>
        </w:rPr>
        <w:t xml:space="preserve">Prioritäten: </w:t>
      </w:r>
      <w:r>
        <w:rPr>
          <w:rFonts w:ascii="Calibri" w:hAnsi="Calibri" w:eastAsia="Calibri"/>
          <w:color w:val="1F2937"/>
        </w:rPr>
        <w:t>M = Muss für den vollständigen Zielumfang; S = Soll, sofern ohne unverhältnismäßigen Aufwand; K = Kann/Erweiterung.</w:t>
      </w:r>
    </w:p>
    <w:p>
      <w:pPr>
        <w:pStyle w:val="Heading2"/>
      </w:pPr>
      <w:r>
        <w:t>5.1 Konten, Mandanten und Rechte</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1250"/>
        <w:gridCol w:w="850"/>
        <w:gridCol w:w="4300"/>
        <w:gridCol w:w="2960"/>
      </w:tblGrid>
      <w:tr>
        <w:trPr>
          <w:cantSplit w:val="1"/>
          <w:tblHeader w:val="true"/>
        </w:trPr>
        <w:tc>
          <w:tcPr>
            <w:tcW w:type="dxa" w:w="1250"/>
            <w:tcMar>
              <w:top w:w="80" w:type="dxa"/>
              <w:start w:w="120" w:type="dxa"/>
              <w:bottom w:w="80" w:type="dxa"/>
              <w:end w:w="120" w:type="dxa"/>
            </w:tcMar>
            <w:vAlign w:val="center"/>
            <w:shd w:fill="E8EEF5"/>
          </w:tcPr>
          <w:p>
            <w:pPr>
              <w:spacing w:after="0"/>
              <w:jc w:val="center"/>
            </w:pPr>
            <w:r>
              <w:rPr>
                <w:rFonts w:ascii="Calibri" w:hAnsi="Calibri" w:eastAsia="Calibri"/>
                <w:b/>
                <w:color w:val="17365D"/>
                <w:sz w:val="18"/>
              </w:rPr>
              <w:t>ID</w:t>
            </w:r>
          </w:p>
        </w:tc>
        <w:tc>
          <w:tcPr>
            <w:tcW w:type="dxa" w:w="850"/>
            <w:tcMar>
              <w:top w:w="80" w:type="dxa"/>
              <w:start w:w="120" w:type="dxa"/>
              <w:bottom w:w="80" w:type="dxa"/>
              <w:end w:w="120" w:type="dxa"/>
            </w:tcMar>
            <w:vAlign w:val="center"/>
            <w:shd w:fill="E8EEF5"/>
          </w:tcPr>
          <w:p>
            <w:pPr>
              <w:spacing w:after="0"/>
              <w:jc w:val="center"/>
            </w:pPr>
            <w:r>
              <w:rPr>
                <w:rFonts w:ascii="Calibri" w:hAnsi="Calibri" w:eastAsia="Calibri"/>
                <w:b/>
                <w:color w:val="17365D"/>
                <w:sz w:val="18"/>
              </w:rPr>
              <w:t>Prio</w:t>
            </w:r>
          </w:p>
        </w:tc>
        <w:tc>
          <w:tcPr>
            <w:tcW w:type="dxa" w:w="43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Anforderung (Was)</w:t>
            </w:r>
          </w:p>
        </w:tc>
        <w:tc>
          <w:tcPr>
            <w:tcW w:type="dxa" w:w="29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Abnahmekriterium</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LH-ORG-01</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Einzelkonto und Organisationskonto müssen unterstützt werden.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 Konto kann allein oder in mindestens einer Organisation arbeiten.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LH-ORG-02</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Daten unterschiedlicher Organisationen sind strikt zu trennen.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Kein Benutzer kann fremde Mandantendaten lesen oder erraten.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LH-ORG-03</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Rollen und fein abgestufte Rechte müssen konfigurierbar sein.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Mindestens Admin, Pilot, Dispatcher, Wartung und Auditor sind getrennt testbar.</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LH-ORG-04</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 Pilot kann für mehrere Betreiber tätig sein, ohne Flugakten zu vermischen.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Flug gehört genau einem Betreiber; Pilotensummen können mandantenübergreifend privat angezeigt werden.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LH-ORG-05</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Organisationen können Freigabe- und Vier-Augen-Prozesse aktivieren.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Abschluss erfordert bei aktivierter Regel zwei unterschiedliche berechtigte Personen.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LH-ORG-06</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Stellvertretung und zeitlich begrenzte Rechte sind möglich.</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Start/Ende der Berechtigung wird geprüft und protokolliert.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LH-ORG-07</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Sicherer Login mit optional verpflichtender Zwei-Faktor-Authentifizierung.</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Organisation kann 2FA erzwingen; Recovery ist kontrolliert dokumentiert.</w:t>
            </w:r>
          </w:p>
        </w:tc>
      </w:tr>
    </w:tbl>
    <w:p>
      <w:pPr>
        <w:spacing w:after="40"/>
      </w:pPr>
    </w:p>
    <w:p>
      <w:pPr>
        <w:pStyle w:val="Heading2"/>
      </w:pPr>
      <w:r>
        <w:t>5.2 Betreiber, Piloten, Flotte und Nachweise</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1250"/>
        <w:gridCol w:w="850"/>
        <w:gridCol w:w="4300"/>
        <w:gridCol w:w="2960"/>
      </w:tblGrid>
      <w:tr>
        <w:trPr>
          <w:cantSplit w:val="1"/>
          <w:tblHeader w:val="true"/>
        </w:trPr>
        <w:tc>
          <w:tcPr>
            <w:tcW w:type="dxa" w:w="1250"/>
            <w:tcMar>
              <w:top w:w="80" w:type="dxa"/>
              <w:start w:w="120" w:type="dxa"/>
              <w:bottom w:w="80" w:type="dxa"/>
              <w:end w:w="120" w:type="dxa"/>
            </w:tcMar>
            <w:vAlign w:val="center"/>
            <w:shd w:fill="E8EEF5"/>
          </w:tcPr>
          <w:p>
            <w:pPr>
              <w:spacing w:after="0"/>
              <w:jc w:val="center"/>
            </w:pPr>
            <w:r>
              <w:rPr>
                <w:rFonts w:ascii="Calibri" w:hAnsi="Calibri" w:eastAsia="Calibri"/>
                <w:b/>
                <w:color w:val="17365D"/>
                <w:sz w:val="18"/>
              </w:rPr>
              <w:t>ID</w:t>
            </w:r>
          </w:p>
        </w:tc>
        <w:tc>
          <w:tcPr>
            <w:tcW w:type="dxa" w:w="850"/>
            <w:tcMar>
              <w:top w:w="80" w:type="dxa"/>
              <w:start w:w="120" w:type="dxa"/>
              <w:bottom w:w="80" w:type="dxa"/>
              <w:end w:w="120" w:type="dxa"/>
            </w:tcMar>
            <w:vAlign w:val="center"/>
            <w:shd w:fill="E8EEF5"/>
          </w:tcPr>
          <w:p>
            <w:pPr>
              <w:spacing w:after="0"/>
              <w:jc w:val="center"/>
            </w:pPr>
            <w:r>
              <w:rPr>
                <w:rFonts w:ascii="Calibri" w:hAnsi="Calibri" w:eastAsia="Calibri"/>
                <w:b/>
                <w:color w:val="17365D"/>
                <w:sz w:val="18"/>
              </w:rPr>
              <w:t>Prio</w:t>
            </w:r>
          </w:p>
        </w:tc>
        <w:tc>
          <w:tcPr>
            <w:tcW w:type="dxa" w:w="43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Anforderung (Was)</w:t>
            </w:r>
          </w:p>
        </w:tc>
        <w:tc>
          <w:tcPr>
            <w:tcW w:type="dxa" w:w="29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Abnahmekriterium</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LH-STAMM-01</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Betreiberprofil mit Land, e-ID/Registrierung, Kontakt und Betriebsarten.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Gültigkeit und Änderungsverlauf sind sichtbar; sensible e-ID wird in Anzeigen maskiert.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LH-STAMM-02</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Pilotenakte mit A1/A3, A2, STS und betriebsspezifischen Qualifikationen.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Nachweisdatei, Aussteller, Nummer, Gültigkeit und Erinnerung sind erfassbar.</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LH-STAMM-03</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Luftfahrzeugakte mit Hersteller, Modell, Seriennummer, Klasse C0-C6, MTOM, Firmware und Status.</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Seriennummer ist pro Betreiber eindeutig; Klasse und Gewicht werden plausibilisiert.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LH-STAMM-04</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Controller, Nutzlasten und Batterien sind als eigene oder zugeordnete Komponenten verwaltbar.</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Flug kann konkrete Komponenten und deren Zählerstände referenzieren.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LH-STAMM-05</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Versicherungsnachweise mit Geltungsbereich und Laufzeit.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Ablaufwarnung; fehlender/abgelaufener Nachweis erzeugt sichtbare Abweichung.</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LH-STAMM-06</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Betriebserklärungen, Genehmigungen, LUC und lokale Freigaben werden versioniert hinterlegt.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Jeder spezielle Flug referenziert genau die verwendete gültige Grundlage.</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LH-STAMM-07</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Dokumente können mit Schlagwort, Gültigkeit, Land und Flug/Einsatz verknüpft werden.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Suche findet Dokumente über alle Metadaten; Zugriffe sind rollenabhängig.</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LH-STAMM-08</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Inaktive, verkaufte oder gesperrte Geräte bleiben historisch erhalten.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Vergangene Flüge zeigen unverändert die damalige Gerätezuordnung.</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LH-STAMM-09</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Flottenobjekte führen Eigentum, Standort, Inventarnummer, Beschaffungs-, Garantie- und Versicherungsbezug.</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Geräteakte zeigt Lebenszyklus und aktuellen Verantwortungsbereich ohne historische Daten zu überschreiben.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LH-STAMM-10</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QR-/Barcode führt mobil direkt zur Geräte- oder Komponentenakte.</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Scan öffnet nur nach Anmeldung die berechtigte Akte und erlaubt Vor-/Nachflugprüfung.</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LH-STAMM-11</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Status umfasst mindestens einsatzbereit, reserviert, im Einsatz, Prüfung fällig, Wartung, gesperrt, beschädigt und ausgemustert.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Statusübergänge sind regelbasiert und vollständig auditiert.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LH-STAMM-12</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Gesamtflugzeit, Starts, Strecke, Akkuzyklen, letzte Nutzung und nächste Fälligkeit werden aggregiert.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Summen sind auf einzelne bestätigte Flüge beziehungsweise Wartungen zurückführbar.</w:t>
            </w:r>
          </w:p>
        </w:tc>
      </w:tr>
    </w:tbl>
    <w:p>
      <w:pPr>
        <w:spacing w:after="40"/>
      </w:pPr>
    </w:p>
    <w:p>
      <w:pPr>
        <w:pStyle w:val="Heading2"/>
      </w:pPr>
      <w:r>
        <w:t>5.3 Flüge, Einsätze und Checklisten</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1250"/>
        <w:gridCol w:w="850"/>
        <w:gridCol w:w="4300"/>
        <w:gridCol w:w="2960"/>
      </w:tblGrid>
      <w:tr>
        <w:trPr>
          <w:cantSplit w:val="1"/>
          <w:tblHeader w:val="true"/>
        </w:trPr>
        <w:tc>
          <w:tcPr>
            <w:tcW w:type="dxa" w:w="1250"/>
            <w:tcMar>
              <w:top w:w="80" w:type="dxa"/>
              <w:start w:w="120" w:type="dxa"/>
              <w:bottom w:w="80" w:type="dxa"/>
              <w:end w:w="120" w:type="dxa"/>
            </w:tcMar>
            <w:vAlign w:val="center"/>
            <w:shd w:fill="E8EEF5"/>
          </w:tcPr>
          <w:p>
            <w:pPr>
              <w:spacing w:after="0"/>
              <w:jc w:val="center"/>
            </w:pPr>
            <w:r>
              <w:rPr>
                <w:rFonts w:ascii="Calibri" w:hAnsi="Calibri" w:eastAsia="Calibri"/>
                <w:b/>
                <w:color w:val="17365D"/>
                <w:sz w:val="18"/>
              </w:rPr>
              <w:t>ID</w:t>
            </w:r>
          </w:p>
        </w:tc>
        <w:tc>
          <w:tcPr>
            <w:tcW w:type="dxa" w:w="850"/>
            <w:tcMar>
              <w:top w:w="80" w:type="dxa"/>
              <w:start w:w="120" w:type="dxa"/>
              <w:bottom w:w="80" w:type="dxa"/>
              <w:end w:w="120" w:type="dxa"/>
            </w:tcMar>
            <w:vAlign w:val="center"/>
            <w:shd w:fill="E8EEF5"/>
          </w:tcPr>
          <w:p>
            <w:pPr>
              <w:spacing w:after="0"/>
              <w:jc w:val="center"/>
            </w:pPr>
            <w:r>
              <w:rPr>
                <w:rFonts w:ascii="Calibri" w:hAnsi="Calibri" w:eastAsia="Calibri"/>
                <w:b/>
                <w:color w:val="17365D"/>
                <w:sz w:val="18"/>
              </w:rPr>
              <w:t>Prio</w:t>
            </w:r>
          </w:p>
        </w:tc>
        <w:tc>
          <w:tcPr>
            <w:tcW w:type="dxa" w:w="43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Anforderung (Was)</w:t>
            </w:r>
          </w:p>
        </w:tc>
        <w:tc>
          <w:tcPr>
            <w:tcW w:type="dxa" w:w="29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Abnahmekriterium</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LH-FLG-01</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Flüge sind manuell, per Dateiimport oder per Schnittstelle anlegbar.</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Quelle und Erfassungsweg sind je Datensatz sichtbar.</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LH-FLG-02</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Jeder Flug enthält mindestens Betreiber, Pilot, UAS, Start/Landung, Zeitzone, Dauer und Ort.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Fehlende Kerndaten verhindern den Status 'vollständig', nicht die Speicherung als Entwurf.</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LH-FLG-03</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Nutzungszweck und Betriebskategorie werden getrennt erfasst.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Privat/gewerblich kann mit offen/speziell unabhängig kombiniert werden.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LH-FLG-04</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Offen A1/A2/A3, speziell STS/SORA/PDRA/Genehmigung und Abweichungen sind abbildbar.</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Auswahl passt sich an Land, Datum, UAS und hinterlegte Nachweise an.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LH-FLG-05</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Start-/Landeort, Flugspur und Höhenbezug werden differenziert gespeichert.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WGS84, Roh-Höhe und Referenz AGL/MSL/Startpunkt bleiben unterscheidbar.</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LH-FLG-06</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Wetter, Sicht, Wind, Tag/Nacht und Umgebungsbewertung können dokumentiert werden.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Werte tragen Quelle und Zeitpunkt; manuelle Korrektur bleibt nachvollziehbar.</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LH-FLG-07</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Vorflug- und Nachflugchecklisten sind pro Betreiber, UAS-Typ und Betriebskategorie konfigurierbar.</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Pflichtpunkte müssen bestätigt oder mit Abweichungsgrund versehen werden.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LH-FLG-08</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Mehrere Flüge können einem Einsatz/Auftrag zugeordnet werden.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Einsatz summiert Zeit, Distanz und Flüge ohne Einzelwerte zu überschreiben.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LH-FLG-09</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Gewerbliche Zusatzdaten: Kunde, Projekt, Auftragsnummer, Kostenstelle und Leistungsart.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Diese Daten sind in Kundenexporten auswählbar, aber nicht Teil des gesetzlichen Mindestkerns.</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LH-FLG-10</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Besonderheiten, Abweichungen, Schäden und Beinaheereignisse müssen erfasst werden können.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 Nein/Keine-Angabe ist von 'keine Besonderheit' unterscheidbar.</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LH-FLG-11</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Abgeschlossene Flüge sind nicht überschreibbar; Korrekturen erzeugen Revisionen.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Vorher/Nachher, Grund, Person und Zeit sind im Audit sichtbar.</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LH-FLG-12</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Mobile Offline-Erfassung als Entwurf.</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Entwurf funktioniert ohne Netz; Konflikte werden beim Synchronisieren aufgelöst.</w:t>
            </w:r>
          </w:p>
        </w:tc>
      </w:tr>
    </w:tbl>
    <w:p>
      <w:pPr>
        <w:spacing w:after="40"/>
      </w:pPr>
    </w:p>
    <w:p>
      <w:pPr>
        <w:pStyle w:val="Heading2"/>
      </w:pPr>
      <w:r>
        <w:t>5.4 Einsatzplanung, Ressourcen und Freigabe</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1250"/>
        <w:gridCol w:w="850"/>
        <w:gridCol w:w="4300"/>
        <w:gridCol w:w="2960"/>
      </w:tblGrid>
      <w:tr>
        <w:trPr>
          <w:cantSplit w:val="1"/>
          <w:tblHeader w:val="true"/>
        </w:trPr>
        <w:tc>
          <w:tcPr>
            <w:tcW w:type="dxa" w:w="1250"/>
            <w:tcMar>
              <w:top w:w="80" w:type="dxa"/>
              <w:start w:w="120" w:type="dxa"/>
              <w:bottom w:w="80" w:type="dxa"/>
              <w:end w:w="120" w:type="dxa"/>
            </w:tcMar>
            <w:vAlign w:val="center"/>
            <w:shd w:fill="E8EEF5"/>
          </w:tcPr>
          <w:p>
            <w:pPr>
              <w:spacing w:after="0"/>
              <w:jc w:val="center"/>
            </w:pPr>
            <w:r>
              <w:rPr>
                <w:rFonts w:ascii="Calibri" w:hAnsi="Calibri" w:eastAsia="Calibri"/>
                <w:b/>
                <w:color w:val="17365D"/>
                <w:sz w:val="18"/>
              </w:rPr>
              <w:t>ID</w:t>
            </w:r>
          </w:p>
        </w:tc>
        <w:tc>
          <w:tcPr>
            <w:tcW w:type="dxa" w:w="850"/>
            <w:tcMar>
              <w:top w:w="80" w:type="dxa"/>
              <w:start w:w="120" w:type="dxa"/>
              <w:bottom w:w="80" w:type="dxa"/>
              <w:end w:w="120" w:type="dxa"/>
            </w:tcMar>
            <w:vAlign w:val="center"/>
            <w:shd w:fill="E8EEF5"/>
          </w:tcPr>
          <w:p>
            <w:pPr>
              <w:spacing w:after="0"/>
              <w:jc w:val="center"/>
            </w:pPr>
            <w:r>
              <w:rPr>
                <w:rFonts w:ascii="Calibri" w:hAnsi="Calibri" w:eastAsia="Calibri"/>
                <w:b/>
                <w:color w:val="17365D"/>
                <w:sz w:val="18"/>
              </w:rPr>
              <w:t>Prio</w:t>
            </w:r>
          </w:p>
        </w:tc>
        <w:tc>
          <w:tcPr>
            <w:tcW w:type="dxa" w:w="43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Anforderung (Was)</w:t>
            </w:r>
          </w:p>
        </w:tc>
        <w:tc>
          <w:tcPr>
            <w:tcW w:type="dxa" w:w="29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Abnahmekriterium</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LH-PLAN-01</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Einsätze werden mit Auftraggeber, Projekt, Zweck, Verantwortlichem, Zeitraum, Ausweichtermin und Status geplant.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 Einsatz kann einen oder mehrere geplante sowie später tatsächliche Flüge enthalten.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LH-PLAN-02</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Einsatzort, Start-/Landeplätze, Route, Wegpunkte und Notlandeplätze werden auf einer Karte erfasst.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Geometrien sind als Punkt, Linie, Polygon oder Korridor exportierbar; Höhenbezug ist eindeutig.</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LH-PLAN-03</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Betriebsvolumen, Kontingenzvolumen und Bodenrisikopuffer werden getrennt und versioniert geführt.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Karte und Export unterscheiden alle Bereiche; Änderungen nach Freigabe erzwingen Neubewertung.</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LH-PLAN-04</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Zeit, Höhe, Länge und Breite einer geplanten Trajektorie können als 4D-Plan gespeichert werden.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Jeder Abschnitt besitzt Zeitfenster und vertikale/seitliche Grenzen; Plan-Ist-Abgleich ist möglich.</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LH-PLAN-05</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Pilot, verantwortlicher Fernpilot, Beobachter, Einsatzleiter und weitere Crew werden mit Einsatzzeiten zugeordnet.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Qualifikation, Verfügbarkeit und zulässige Arbeits-/Einsatzzeiten werden geprüft.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LH-PLAN-06</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UAS, Controller, Batterien, Nutzlasten, Sicherheits- und Kommunikationsmittel werden reserviert.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Doppelbelegung, Sperre, Wartungsfälligkeit und inkompatible Konfiguration erzeugen Fehler oder Warnung.</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LH-PLAN-07</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Betriebskategorie, A1/A2/A3, STS, PDRA, SORA/ConOps, LUC-Privileg oder Einzelgenehmigung werden dem Einsatz zugeordnet.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Freigabeprüfung verwendet die am Einsatztag gültige, versionierte Grundlage.</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LH-PLAN-08</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Geo-Zonen-, Luftraum-, AIP-/NOTAM- und örtliche Prüfungen werden mit Quelle, Abrufzeit, Geltungsbereich und Prüfer dokumentiert.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Der Nachweis bleibt reproduzierbar; veraltete Quellen werden vor Einsatzbeginn erneut angefordert.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LH-PLAN-09</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Wetterentscheidung enthält Prognose, Beobachtung, Grenzwerte, Quelle, Abrufzeit und verantwortliche Bewertung.</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Überschrittene Grenzwerte verhindern Freigabe oder verlangen begründete Abweichungsentscheidung.</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LH-PLAN-10</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Menschenansammlungen, unbeteiligte Personen, Infrastruktur, Schutzgüter und Bodenrisiken werden bewertet.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Feststellungen und Risikominderungen sind mit Karte, Foto oder Dokument belegbar.</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LH-PLAN-11</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Genehmigungen, Grundstückszustimmungen, Schutzgebiets- und lokale Erlaubnisse werden als Bedingungen geführt.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Fehlende, räumlich unpassende oder ablaufende Erlaubnis wird im Freigabegate angezeigt.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LH-PLAN-12</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Normal-, Kontingenz-, Notfall-, Lost-Link-, Abbruch- und Kommunikationsverfahren werden je Einsatz bestätigt.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Crew bestätigt die freigegebene Verfahrensversion im Briefing.</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LH-PLAN-13</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Vorstart-Gate prüft Person, Technik, Wartung, Versicherung, Genehmigungen, Wetter, Luftraum, Checklisten und offene Mängel.</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Harte Sperren und übersteuerbare Warnungen sind getrennt; jede Entscheidung wird begründet auditiert.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LH-PLAN-14</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Vier-Augen-Freigabe und organisationsspezifische Schwellen sind konfigurierbar.</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Planer und Freigeber müssen bei aktivierter Regel verschiedene berechtigte Personen sein.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LH-PLAN-15</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Wesentliche Änderungen nach Freigabe setzen den Einsatz zurück in Prüfung.</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Zeit, Gebiet, UAS, Pilot, Rechtsgrundlage oder Wettergrenzen invalidieren die alte Freigabe nachvollziehbar.</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LH-PLAN-16</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Wiederkehrende Einsätze können aus versionierten Vorlagen erzeugt werden.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Kopiert werden nur Planwerte; Tagesdaten, Gültigkeiten, Wetter und Freigaben müssen neu geprüft werden.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LH-PLAN-17</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Mobilansicht unterstützt Briefing, Checklisten, Status, Abweichung, Pause und Abbruch.</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Kritische Schritte funktionieren bei kurzer Netzunterbrechung; Synchronisationskonflikte sind sichtbar.</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LH-PLAN-18</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Nach Einsatzende werden geplante und tatsächliche Daten verglichen und Flüge übernommen oder importierten Logs zugeordnet.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Abweichungen bei Zeit, Gebiet, Crew und Technik erscheinen im Abschlussbericht.</w:t>
            </w:r>
          </w:p>
        </w:tc>
      </w:tr>
    </w:tbl>
    <w:p>
      <w:pPr>
        <w:spacing w:after="40"/>
      </w:pPr>
    </w:p>
    <w:p>
      <w:pPr>
        <w:pStyle w:val="Heading2"/>
      </w:pPr>
      <w:r>
        <w:t>5.5 Hersteller- und Dateiimport</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1250"/>
        <w:gridCol w:w="850"/>
        <w:gridCol w:w="4300"/>
        <w:gridCol w:w="2960"/>
      </w:tblGrid>
      <w:tr>
        <w:trPr>
          <w:cantSplit w:val="1"/>
          <w:tblHeader w:val="true"/>
        </w:trPr>
        <w:tc>
          <w:tcPr>
            <w:tcW w:type="dxa" w:w="1250"/>
            <w:tcMar>
              <w:top w:w="80" w:type="dxa"/>
              <w:start w:w="120" w:type="dxa"/>
              <w:bottom w:w="80" w:type="dxa"/>
              <w:end w:w="120" w:type="dxa"/>
            </w:tcMar>
            <w:vAlign w:val="center"/>
            <w:shd w:fill="E8EEF5"/>
          </w:tcPr>
          <w:p>
            <w:pPr>
              <w:spacing w:after="0"/>
              <w:jc w:val="center"/>
            </w:pPr>
            <w:r>
              <w:rPr>
                <w:rFonts w:ascii="Calibri" w:hAnsi="Calibri" w:eastAsia="Calibri"/>
                <w:b/>
                <w:color w:val="17365D"/>
                <w:sz w:val="18"/>
              </w:rPr>
              <w:t>ID</w:t>
            </w:r>
          </w:p>
        </w:tc>
        <w:tc>
          <w:tcPr>
            <w:tcW w:type="dxa" w:w="850"/>
            <w:tcMar>
              <w:top w:w="80" w:type="dxa"/>
              <w:start w:w="120" w:type="dxa"/>
              <w:bottom w:w="80" w:type="dxa"/>
              <w:end w:w="120" w:type="dxa"/>
            </w:tcMar>
            <w:vAlign w:val="center"/>
            <w:shd w:fill="E8EEF5"/>
          </w:tcPr>
          <w:p>
            <w:pPr>
              <w:spacing w:after="0"/>
              <w:jc w:val="center"/>
            </w:pPr>
            <w:r>
              <w:rPr>
                <w:rFonts w:ascii="Calibri" w:hAnsi="Calibri" w:eastAsia="Calibri"/>
                <w:b/>
                <w:color w:val="17365D"/>
                <w:sz w:val="18"/>
              </w:rPr>
              <w:t>Prio</w:t>
            </w:r>
          </w:p>
        </w:tc>
        <w:tc>
          <w:tcPr>
            <w:tcW w:type="dxa" w:w="43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Anforderung (Was)</w:t>
            </w:r>
          </w:p>
        </w:tc>
        <w:tc>
          <w:tcPr>
            <w:tcW w:type="dxa" w:w="29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Abnahmekriterium</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LH-IMP-01</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DJI FlightRecord-Ordner oder einzelne unterstützte DJI-Logs können als ZIP/Datei importiert werden.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Unterstützte Versionen werden erkannt; unbekannte Versionen werden sicher zurückgewiesen oder zur Prüfung markiert.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LH-IMP-02</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DJI FlightHub-2-Exporte sollen importierbar sein, sofern Format und Lizenz dies erlauben.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Mindestens freigegebene CSV-/Berichtsformate sind durch Testdateien abgedeckt.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LH-IMP-03</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Originaldatei und SHA-256-Prüfwert bleiben unverändert erhalten.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Export kann Rohdatei, Hash und Importzeitpunkt nachweisen.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LH-IMP-04</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Jedes normalisierte Feld trägt seine Herkunft: importiert, berechnet oder manuell.</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Feldansicht zeigt Quelle und gegebenenfalls Umrechnungsregel.</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LH-IMP-05</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Duplikate werden über Hash, Hersteller-ID und Flugeigenschaften erkannt.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Wiederholter Import erzeugt keinen zweiten Flug ohne ausdrückliche Bestätigung.</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LH-IMP-06</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Importvorschau zeigt Flüge, Warnungen, Zuordnungen und fehlende Pflichtdaten.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Nutzer kann einzelne Flüge auswählen und fehlerhafte Zuordnungen korrigieren.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LH-IMP-07</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Zeitzonen, Sommerzeit, Einheiten und Höhenreferenzen werden robust behandelt.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Originalwert bleibt erhalten; unklare Referenz wird nicht stillschweigend geraten.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LH-IMP-08</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Adapter für weitere Hersteller werden nach bestätigtem Exportformat und Lizenzlage bereitgestellt.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Je Hersteller existiert eine dokumentierte Format-/Versionsmatrix und mindestens ein Golden-File-Test.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LH-IMP-09</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Herstellerneutraler CSV-/JSON-Import mit Feldzuordnungsassistent.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Zuordnung kann als Vorlage gespeichert und erneut angewendet werden.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LH-IMP-10</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GPX/KML sowie offene PX4-ULog- und ArduPilot-DataFlash/TLOG-Adapter.</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Geometrie und Telemetrie werden validiert, ressourcenbegrenzt verarbeitet und einem Flug zugeordnet.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LH-IMP-11</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DJI Mobile/Cloud API kann als optionaler Connector genutzt werden, sofern Gerät, Lizenz und dokumentierte Schnittstelle passen.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Connector ist deaktivierbar; lokaler Dateiimport bleibt ohne Hersteller-Cloud nutzbar.</w:t>
            </w:r>
          </w:p>
        </w:tc>
      </w:tr>
    </w:tbl>
    <w:p>
      <w:pPr>
        <w:spacing w:after="40"/>
      </w:pPr>
    </w:p>
    <w:p>
      <w:pPr>
        <w:pStyle w:val="Heading2"/>
      </w:pPr>
      <w:r>
        <w:t>5.6 Compliance- und Fristenassistenz</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1250"/>
        <w:gridCol w:w="850"/>
        <w:gridCol w:w="4300"/>
        <w:gridCol w:w="2960"/>
      </w:tblGrid>
      <w:tr>
        <w:trPr>
          <w:cantSplit w:val="1"/>
          <w:tblHeader w:val="true"/>
        </w:trPr>
        <w:tc>
          <w:tcPr>
            <w:tcW w:type="dxa" w:w="1250"/>
            <w:tcMar>
              <w:top w:w="80" w:type="dxa"/>
              <w:start w:w="120" w:type="dxa"/>
              <w:bottom w:w="80" w:type="dxa"/>
              <w:end w:w="120" w:type="dxa"/>
            </w:tcMar>
            <w:vAlign w:val="center"/>
            <w:shd w:fill="E8EEF5"/>
          </w:tcPr>
          <w:p>
            <w:pPr>
              <w:spacing w:after="0"/>
              <w:jc w:val="center"/>
            </w:pPr>
            <w:r>
              <w:rPr>
                <w:rFonts w:ascii="Calibri" w:hAnsi="Calibri" w:eastAsia="Calibri"/>
                <w:b/>
                <w:color w:val="17365D"/>
                <w:sz w:val="18"/>
              </w:rPr>
              <w:t>ID</w:t>
            </w:r>
          </w:p>
        </w:tc>
        <w:tc>
          <w:tcPr>
            <w:tcW w:type="dxa" w:w="850"/>
            <w:tcMar>
              <w:top w:w="80" w:type="dxa"/>
              <w:start w:w="120" w:type="dxa"/>
              <w:bottom w:w="80" w:type="dxa"/>
              <w:end w:w="120" w:type="dxa"/>
            </w:tcMar>
            <w:vAlign w:val="center"/>
            <w:shd w:fill="E8EEF5"/>
          </w:tcPr>
          <w:p>
            <w:pPr>
              <w:spacing w:after="0"/>
              <w:jc w:val="center"/>
            </w:pPr>
            <w:r>
              <w:rPr>
                <w:rFonts w:ascii="Calibri" w:hAnsi="Calibri" w:eastAsia="Calibri"/>
                <w:b/>
                <w:color w:val="17365D"/>
                <w:sz w:val="18"/>
              </w:rPr>
              <w:t>Prio</w:t>
            </w:r>
          </w:p>
        </w:tc>
        <w:tc>
          <w:tcPr>
            <w:tcW w:type="dxa" w:w="43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Anforderung (Was)</w:t>
            </w:r>
          </w:p>
        </w:tc>
        <w:tc>
          <w:tcPr>
            <w:tcW w:type="dxa" w:w="29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Abnahmekriterium</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LH-CMP-01</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Regelwerk muss nach Land, Datum und Betriebskategorie versioniert sein.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Vergangener Flug wird mit dem damals gültigen Regelstand bewertet.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LH-CMP-02</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Felder werden als gesetzlich, genehmigungsbedingt, intern, empfohlen oder nicht anwendbar markiert.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Begründung und Quelle sind für jede Pflichtanzeige abrufbar.</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LH-CMP-03</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Kategorieassistent schlägt eine Einordnung vor, der verantwortliche Nutzer bestätigt.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System bezeichnet Vorschlag nie als behördliche Freigabe.</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LH-CMP-04</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Plausibilitätsprüfungen für UAS-Klasse, Gewicht, Pilotennachweis, Höhe, Kategorie und Genehmigung.</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Widersprüche erscheinen als klare Warnung mit Handlungsoption.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LH-CMP-05</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Geozonen-/Luftraumprüfung kann mit Quelle, Zeitpunkt und Ergebnis dokumentiert werden.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Screenshot/Datei/Link und Bestätigung werden zum Flug gespeichert.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LH-CMP-06</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Automatischer Datenabruf offizieller Geozonen, sofern verlässliche Schnittstellen verfügbar sind.</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Datenquelle und Abrufstand werden unveränderbar am Flug referenziert.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LH-CMP-07</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Ablaufende e-ID, Versicherung, Kompetenznachweise, Genehmigungen und Wartungen erzeugen Erinnerungen.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Konfigurierbare Vorwarnzeiten; Eskalation an zuständige Rolle.</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LH-CMP-08</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Spezielle Flüge erhalten mindestens dreijährige Aufbewahrungssperren für Pflichtaufzeichnungen.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Löschversuch wird blockiert und mit Rechtsgrund/Enddatum erläutert.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LH-CMP-09</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Abweichungen bleiben dokumentierbar und auswertbar.</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Nichtkonformer Flug kann gespeichert werden, erhält aber keinen fälschlichen Status 'konform'.</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LH-CMP-10</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Änderungen am Regelwerk werden als neue Regelpaketversion eingespielt.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Alte Bewertungen bleiben reproduzierbar; Neubewertung erfolgt nur bewusst.</w:t>
            </w:r>
          </w:p>
        </w:tc>
      </w:tr>
    </w:tbl>
    <w:p>
      <w:pPr>
        <w:spacing w:after="40"/>
      </w:pPr>
    </w:p>
    <w:p>
      <w:pPr>
        <w:pStyle w:val="Heading2"/>
      </w:pPr>
      <w:r>
        <w:t>5.7 Wartung, Batterien und technische Sicherheit</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1250"/>
        <w:gridCol w:w="850"/>
        <w:gridCol w:w="4300"/>
        <w:gridCol w:w="2960"/>
      </w:tblGrid>
      <w:tr>
        <w:trPr>
          <w:cantSplit w:val="1"/>
          <w:tblHeader w:val="true"/>
        </w:trPr>
        <w:tc>
          <w:tcPr>
            <w:tcW w:type="dxa" w:w="1250"/>
            <w:tcMar>
              <w:top w:w="80" w:type="dxa"/>
              <w:start w:w="120" w:type="dxa"/>
              <w:bottom w:w="80" w:type="dxa"/>
              <w:end w:w="120" w:type="dxa"/>
            </w:tcMar>
            <w:vAlign w:val="center"/>
            <w:shd w:fill="E8EEF5"/>
          </w:tcPr>
          <w:p>
            <w:pPr>
              <w:spacing w:after="0"/>
              <w:jc w:val="center"/>
            </w:pPr>
            <w:r>
              <w:rPr>
                <w:rFonts w:ascii="Calibri" w:hAnsi="Calibri" w:eastAsia="Calibri"/>
                <w:b/>
                <w:color w:val="17365D"/>
                <w:sz w:val="18"/>
              </w:rPr>
              <w:t>ID</w:t>
            </w:r>
          </w:p>
        </w:tc>
        <w:tc>
          <w:tcPr>
            <w:tcW w:type="dxa" w:w="850"/>
            <w:tcMar>
              <w:top w:w="80" w:type="dxa"/>
              <w:start w:w="120" w:type="dxa"/>
              <w:bottom w:w="80" w:type="dxa"/>
              <w:end w:w="120" w:type="dxa"/>
            </w:tcMar>
            <w:vAlign w:val="center"/>
            <w:shd w:fill="E8EEF5"/>
          </w:tcPr>
          <w:p>
            <w:pPr>
              <w:spacing w:after="0"/>
              <w:jc w:val="center"/>
            </w:pPr>
            <w:r>
              <w:rPr>
                <w:rFonts w:ascii="Calibri" w:hAnsi="Calibri" w:eastAsia="Calibri"/>
                <w:b/>
                <w:color w:val="17365D"/>
                <w:sz w:val="18"/>
              </w:rPr>
              <w:t>Prio</w:t>
            </w:r>
          </w:p>
        </w:tc>
        <w:tc>
          <w:tcPr>
            <w:tcW w:type="dxa" w:w="43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Anforderung (Was)</w:t>
            </w:r>
          </w:p>
        </w:tc>
        <w:tc>
          <w:tcPr>
            <w:tcW w:type="dxa" w:w="29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Abnahmekriterium</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LH-TEC-01</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Mängel, Inspektionen, Reparaturen, Firmware- und Konfigurationsänderungen werden protokolliert.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Technische Akte zeigt chronologisch Ursache, Maßnahme, Teile, Person und Freigabe.</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LH-TEC-02</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UAS, Komponente oder Batterie kann gesperrt/gegroundet werden.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Planung warnt oder blockiert nach Organisationsregel; Altflüge bleiben unverändert.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LH-TEC-03</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Batterien besitzen eigene Akten mit Seriennummer, Kaufdatum, Chemie, Kapazität, Ladezyklen, Zustand und Status.</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Jede eingesetzte Batterie ist einem Flug zuordenbar; Doppelzählungen werden erkannt.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LH-TEC-04</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Wartungsfristen können nach Datum, Stunden oder Zyklen definiert werden.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Nächste Fälligkeit wird automatisch aus bestätigten Flügen berechnet.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LH-TEC-05</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Wartungspläne enthalten Herstellerintervalle, betriebliche Vorgaben, Checklisten und Toleranzen.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Fälligkeit und zugrunde liegende Planversion sind für jeden Termin sichtbar.</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LH-TEC-06</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Wartungsauftrag führt Verantwortlichen, Termin, Befund, Maßnahmen, Ersatzteile, Arbeitszeit, Kosten und Anlagen.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Abschluss ist nur nach Pflichtcheckliste und technischer Freigabe möglich.</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LH-TEC-07</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Vier-Augen-Prinzip und externe Werkstattbestätigung sind je Wartungsart möglich.</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Ausführende und freigebende Person dürfen bei aktivierter Regel nicht identisch sein.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LH-TEC-08</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Auffällige Zellspannung, Temperatur, Tiefentladung oder Kapazitätsverlust kann eine Batterie automatisch zur Prüfung markieren.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Schwellwert, Messquelle und ausgelöste Statusänderung sind nachvollziehbar.</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LH-TEC-09</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Hersteller-Sicherheitsmitteilungen und Rückrufaktionen können einer Flotte zugeordnet werden.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Betroffene Seriennummern erzeugen Aufgaben und gegebenenfalls eine Sperre.</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LH-TEC-10</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Mängel aus Vor-/Nachflugchecklisten erzeugen unmittelbar einen technischen Vorgang.</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Kritischer Befund sperrt das konkrete Betriebsmittel noch vor der nächsten Reservierung.</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LH-TEC-11</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Wartungskosten, Ausfallzeiten und Zuverlässigkeitskennzahlen sind auswertbar.</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Kennzahlen sind auf Vorgänge und Flüge zurückführbar und enthalten keine geschätzten Werte ohne Kennzeichnung.</w:t>
            </w:r>
          </w:p>
        </w:tc>
      </w:tr>
    </w:tbl>
    <w:p>
      <w:pPr>
        <w:spacing w:after="40"/>
      </w:pPr>
    </w:p>
    <w:p>
      <w:pPr>
        <w:pStyle w:val="Heading2"/>
      </w:pPr>
      <w:r>
        <w:t>5.8 Ereignisse und Sicherheitsmanagement</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1250"/>
        <w:gridCol w:w="850"/>
        <w:gridCol w:w="4300"/>
        <w:gridCol w:w="2960"/>
      </w:tblGrid>
      <w:tr>
        <w:trPr>
          <w:cantSplit w:val="1"/>
          <w:tblHeader w:val="true"/>
        </w:trPr>
        <w:tc>
          <w:tcPr>
            <w:tcW w:type="dxa" w:w="1250"/>
            <w:tcMar>
              <w:top w:w="80" w:type="dxa"/>
              <w:start w:w="120" w:type="dxa"/>
              <w:bottom w:w="80" w:type="dxa"/>
              <w:end w:w="120" w:type="dxa"/>
            </w:tcMar>
            <w:vAlign w:val="center"/>
            <w:shd w:fill="E8EEF5"/>
          </w:tcPr>
          <w:p>
            <w:pPr>
              <w:spacing w:after="0"/>
              <w:jc w:val="center"/>
            </w:pPr>
            <w:r>
              <w:rPr>
                <w:rFonts w:ascii="Calibri" w:hAnsi="Calibri" w:eastAsia="Calibri"/>
                <w:b/>
                <w:color w:val="17365D"/>
                <w:sz w:val="18"/>
              </w:rPr>
              <w:t>ID</w:t>
            </w:r>
          </w:p>
        </w:tc>
        <w:tc>
          <w:tcPr>
            <w:tcW w:type="dxa" w:w="850"/>
            <w:tcMar>
              <w:top w:w="80" w:type="dxa"/>
              <w:start w:w="120" w:type="dxa"/>
              <w:bottom w:w="80" w:type="dxa"/>
              <w:end w:w="120" w:type="dxa"/>
            </w:tcMar>
            <w:vAlign w:val="center"/>
            <w:shd w:fill="E8EEF5"/>
          </w:tcPr>
          <w:p>
            <w:pPr>
              <w:spacing w:after="0"/>
              <w:jc w:val="center"/>
            </w:pPr>
            <w:r>
              <w:rPr>
                <w:rFonts w:ascii="Calibri" w:hAnsi="Calibri" w:eastAsia="Calibri"/>
                <w:b/>
                <w:color w:val="17365D"/>
                <w:sz w:val="18"/>
              </w:rPr>
              <w:t>Prio</w:t>
            </w:r>
          </w:p>
        </w:tc>
        <w:tc>
          <w:tcPr>
            <w:tcW w:type="dxa" w:w="43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Anforderung (Was)</w:t>
            </w:r>
          </w:p>
        </w:tc>
        <w:tc>
          <w:tcPr>
            <w:tcW w:type="dxa" w:w="29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Abnahmekriterium</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LH-EVT-01</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Ereignisworkflow trennt Beobachtung, technische Abweichung, Incident, Unfall und meldepflichtiges Ereignis.</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Triage kann Ergebnis und Begründung festhalten; Kategorien sind versioniert.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LH-EVT-02</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Bei möglicher Meldepflicht startet ein sichtbarer 72-Stunden-Timer.</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Frist berechnet sich ab dokumentiertem Kenntniszeitpunkt und eskaliert.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LH-EVT-03</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Meldeentwurf und Anlagen können exportiert werden.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Export enthält erforderliche Kerndaten, Bearbeitungsstand und Prüfer; kein ungeprüfter Auto-Versand.</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LH-EVT-04</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Maßnahmen, Ursachenanalyse und Follow-up-Fristen sind verfolgbar.</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Ereignis kann erst geschlossen werden, wenn Pflichtmaßnahmen erledigt oder begründet verworfen sind.</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LH-EVT-05</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Ereignisdaten unterliegen besonders restriktiven Zugriffsrechten.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Piloten sehen nur freigegebene Inhalte; Audit protokolliert jeden Zugriff/Export.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LH-EVT-06</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Ereignisse können mit SORA-/Betriebshandbuch-Risiken, Maßnahmen und Wiederholungsprüfung verknüpft werden.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Maßnahmenverantwortliche, Termin und Wirksamkeitskontrolle sind auswertbar.</w:t>
            </w:r>
          </w:p>
        </w:tc>
      </w:tr>
    </w:tbl>
    <w:p>
      <w:pPr>
        <w:spacing w:after="40"/>
      </w:pPr>
    </w:p>
    <w:p>
      <w:pPr>
        <w:pStyle w:val="Heading2"/>
      </w:pPr>
      <w:r>
        <w:t>5.9 Livebild, Streaming und Aufzeichnung</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1250"/>
        <w:gridCol w:w="850"/>
        <w:gridCol w:w="4300"/>
        <w:gridCol w:w="2960"/>
      </w:tblGrid>
      <w:tr>
        <w:trPr>
          <w:cantSplit w:val="1"/>
          <w:tblHeader w:val="true"/>
        </w:trPr>
        <w:tc>
          <w:tcPr>
            <w:tcW w:type="dxa" w:w="1250"/>
            <w:tcMar>
              <w:top w:w="80" w:type="dxa"/>
              <w:start w:w="120" w:type="dxa"/>
              <w:bottom w:w="80" w:type="dxa"/>
              <w:end w:w="120" w:type="dxa"/>
            </w:tcMar>
            <w:vAlign w:val="center"/>
            <w:shd w:fill="E8EEF5"/>
          </w:tcPr>
          <w:p>
            <w:pPr>
              <w:spacing w:after="0"/>
              <w:jc w:val="center"/>
            </w:pPr>
            <w:r>
              <w:rPr>
                <w:rFonts w:ascii="Calibri" w:hAnsi="Calibri" w:eastAsia="Calibri"/>
                <w:b/>
                <w:color w:val="17365D"/>
                <w:sz w:val="18"/>
              </w:rPr>
              <w:t>ID</w:t>
            </w:r>
          </w:p>
        </w:tc>
        <w:tc>
          <w:tcPr>
            <w:tcW w:type="dxa" w:w="850"/>
            <w:tcMar>
              <w:top w:w="80" w:type="dxa"/>
              <w:start w:w="120" w:type="dxa"/>
              <w:bottom w:w="80" w:type="dxa"/>
              <w:end w:w="120" w:type="dxa"/>
            </w:tcMar>
            <w:vAlign w:val="center"/>
            <w:shd w:fill="E8EEF5"/>
          </w:tcPr>
          <w:p>
            <w:pPr>
              <w:spacing w:after="0"/>
              <w:jc w:val="center"/>
            </w:pPr>
            <w:r>
              <w:rPr>
                <w:rFonts w:ascii="Calibri" w:hAnsi="Calibri" w:eastAsia="Calibri"/>
                <w:b/>
                <w:color w:val="17365D"/>
                <w:sz w:val="18"/>
              </w:rPr>
              <w:t>Prio</w:t>
            </w:r>
          </w:p>
        </w:tc>
        <w:tc>
          <w:tcPr>
            <w:tcW w:type="dxa" w:w="43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Anforderung (Was)</w:t>
            </w:r>
          </w:p>
        </w:tc>
        <w:tc>
          <w:tcPr>
            <w:tcW w:type="dxa" w:w="29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Abnahmekriterium</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LH-LIVE-01</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Je Einsatz kann eine eindeutig benannte Stream-Session angelegt und einem UAS/Kamerasensor zugeordnet werden.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Unzugeordnete Streams erscheinen nur Administratoren und können nicht öffentlich geraten werden.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LH-LIVE-02</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Eingänge unterstützen mindestens RTMP/RTMPS und RTSP/RTSPS; SRT ist Soll.</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Freigegebene Testsender veröffentlichen H.264/AAC oder dokumentiert kompatible Medien erfolgreich.</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LH-LIVE-03</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Browserwiedergabe erfolgt primär per WebRTC; HLS dient als kompatibler Fallback.</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Aktuelle Desktop- und Mobilbrowser spielen ohne RTSP-Plugin; Protokollwahl ist sichtbar.</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LH-LIVE-04</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Stream-Schlüssel und Wiedergabetokens sind zufällig, kurzlebig, widerrufbar und nie in Klartextlisten sichtbar.</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Abgelaufener oder widerrufener Token liefert keinen Stream; Zugriffsversuch wird protokolliert.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LH-LIVE-05</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Nur einsatzberechtigte Rollen sehen Livebilder; Gastlinks sind optional, zeitlich begrenzt und auf einen Stream beschränkt.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Gastzugriff endet automatisch und erlaubt weder Download noch Zugriff auf Stammdaten.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LH-LIVE-06</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Anzeige umfasst Zustand, Eingangsprotokoll, Auflösung, Bildrate, Bitrate, Latenzschätzung, letzte Aktivität und Verbindungsabbruch.</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Status aktualisiert sich ohne Seitenneuladung und löst konfigurierbare Warnungen aus.</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LH-LIVE-07</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Mehrere Livebilder können in einer lageorientierten Rasteransicht und einzeln im Vollbild gezeigt werden.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Berechtigungen werden für jeden Kanal separat ausgewertet.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LH-LIVE-08</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Aufzeichnung ist standardmäßig aus und muss je Einsatz mit Zweck, Verantwortlichem, Zugriff und Löschfrist aktiviert werden.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Ohne bestätigte Aufzeichnungsentscheidung entsteht keine dauerhafte Videodatei.</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LH-LIVE-09</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Segmentierte Aufzeichnung kann manuell oder ereignisgesteuert gestartet und beendet werden.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Dateien tragen Einsatz, Kanal, UTC-Zeitraum, Prüfwert und Aufbewahrungsstatus.</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LH-LIVE-10</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Berechtigte Nutzer können Standbilder mit Zeitstempel, Quelle, Hash und Notiz erzeugen.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Standbild wird als Nachweisobjekt versioniert und unterliegt einer eigenen Löschregel.</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LH-LIVE-11</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Zuschauerzugriffe, Gastlink-Erstellung, Aufzeichnungswechsel, Snapshot und Export werden auditiert.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Audit nennt Akteur beziehungsweise Gastkennung, Zeitpunkt, Einsatz, Stream und Aktion.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LH-LIVE-12</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Speicherquoten, maximale Aufzeichnungsdauer und automatische Löschung sind je Organisation konfigurierbar.</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Quota-Warnung erfolgt vor Erreichen; Löschung berücksichtigt Legal Hold und Ereignisakte.</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LH-LIVE-13</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DJI-Pilot-/Cloud-kompatible Publish-Profile können als Einrichtungsassistent bereitgestellt werden.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Assistent zeigt nur für bestätigte Gerätemodelle/Apps gültige Protokolle und bleibt optional.</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LH-LIVE-14</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Verbindungsabbruch beeinflusst niemals die sichere Flugführung; UAS Smart ist kein Command-and-Control-System.</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UI weist auf fehlende Steuerfunktion hin und führt nur Status-/Dokumentationsaktionen aus.</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LH-LIVE-15</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Externe Weitergabe kann mit Wasserzeichen, Zuschauerkennung und maximaler Laufzeit versehen werden.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Wasserzeichen enthält keine geheimen Token; Widerruf wirkt ohne Neustart des Senders.</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LH-LIVE-16</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Transkodierung ist standardmäßig deaktiviert; inkompatible Streams werden klar diagnostiziert.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Kein unbegrenzter FFmpeg-Prozess startet automatisch; Ressourcenlimits sind messbar wirksam.</w:t>
            </w:r>
          </w:p>
        </w:tc>
      </w:tr>
    </w:tbl>
    <w:p>
      <w:pPr>
        <w:spacing w:after="40"/>
      </w:pPr>
    </w:p>
    <w:p>
      <w:pPr>
        <w:pStyle w:val="Heading2"/>
      </w:pPr>
      <w:r>
        <w:t>5.10 Suche, Auswertung und Exporte</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1250"/>
        <w:gridCol w:w="850"/>
        <w:gridCol w:w="4300"/>
        <w:gridCol w:w="2960"/>
      </w:tblGrid>
      <w:tr>
        <w:trPr>
          <w:cantSplit w:val="1"/>
          <w:tblHeader w:val="true"/>
        </w:trPr>
        <w:tc>
          <w:tcPr>
            <w:tcW w:type="dxa" w:w="1250"/>
            <w:tcMar>
              <w:top w:w="80" w:type="dxa"/>
              <w:start w:w="120" w:type="dxa"/>
              <w:bottom w:w="80" w:type="dxa"/>
              <w:end w:w="120" w:type="dxa"/>
            </w:tcMar>
            <w:vAlign w:val="center"/>
            <w:shd w:fill="E8EEF5"/>
          </w:tcPr>
          <w:p>
            <w:pPr>
              <w:spacing w:after="0"/>
              <w:jc w:val="center"/>
            </w:pPr>
            <w:r>
              <w:rPr>
                <w:rFonts w:ascii="Calibri" w:hAnsi="Calibri" w:eastAsia="Calibri"/>
                <w:b/>
                <w:color w:val="17365D"/>
                <w:sz w:val="18"/>
              </w:rPr>
              <w:t>ID</w:t>
            </w:r>
          </w:p>
        </w:tc>
        <w:tc>
          <w:tcPr>
            <w:tcW w:type="dxa" w:w="850"/>
            <w:tcMar>
              <w:top w:w="80" w:type="dxa"/>
              <w:start w:w="120" w:type="dxa"/>
              <w:bottom w:w="80" w:type="dxa"/>
              <w:end w:w="120" w:type="dxa"/>
            </w:tcMar>
            <w:vAlign w:val="center"/>
            <w:shd w:fill="E8EEF5"/>
          </w:tcPr>
          <w:p>
            <w:pPr>
              <w:spacing w:after="0"/>
              <w:jc w:val="center"/>
            </w:pPr>
            <w:r>
              <w:rPr>
                <w:rFonts w:ascii="Calibri" w:hAnsi="Calibri" w:eastAsia="Calibri"/>
                <w:b/>
                <w:color w:val="17365D"/>
                <w:sz w:val="18"/>
              </w:rPr>
              <w:t>Prio</w:t>
            </w:r>
          </w:p>
        </w:tc>
        <w:tc>
          <w:tcPr>
            <w:tcW w:type="dxa" w:w="43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Anforderung (Was)</w:t>
            </w:r>
          </w:p>
        </w:tc>
        <w:tc>
          <w:tcPr>
            <w:tcW w:type="dxa" w:w="29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Abnahmekriterium</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LH-REP-01</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Suche/Filter nach Zeitraum, Pilot, UAS, Zweck, Kategorie, Kunde, Ort, Status und Ereignis.</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10.000 Flüge lassen sich innerhalb des Leistungsziels filtern.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LH-REP-02</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Persönliches Pilotenflugbuch und technisches UAS-Flugbuch.</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Summen stimmen mit Einzelzeilen überein und sind reproduzierbar.</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LH-REP-03</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PDF-Bericht mit Version, Quellen, Unterschrifts-/Prüfvermerk und Revisionshinweis.</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PDF zeigt Erstellzeitpunkt und Prüfwert; nachträgliche Änderung ist erkennbar.</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LH-REP-04</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Maschinenlesbarer Export in CSV und JSON inklusive Feldherkunft.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Export ist dokumentiert, validierbar und ohne Herstellerbindung wieder importierbar.</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LH-REP-05</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Kartenansicht mit Flugspuren und Datenschutz-Redaktion.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Start-/Landeorte können gerundet/ausgeblendet werden; Original bleibt geschützt.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LH-REP-06</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Dashboards für Stunden, Zyklen, Flotte, Piloten, Aufträge, Wartung und Abweichungen.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Kennzahlen sind filterbar und verlinken auf zugrunde liegende Datensätze.</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LH-REP-07</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Vollständiger Audit-/Behördenexport für einen Flug oder Zeitraum.</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Paket enthält definierte Metadaten, Nachweise, Rohlogliste und Prüfsummenmanifest.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LH-REP-08</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Datenauskunft und Datenportabilität für Benutzer.</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Export berücksichtigt Rechte, Aufbewahrung und Trennung von Betreiber-/Pilotendaten.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LH-REP-09</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Einsatzplanung und Livebetrieb werden mit Plan-Ist-Abweichung, Freigabestatus, Streamdauer und Zuschauerzahl ausgewertet.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Kennzahlen enthalten keine Videoinhalte und sind auf Einsatz-/Auditdatensätze zurückführbar.</w:t>
            </w:r>
          </w:p>
        </w:tc>
      </w:tr>
    </w:tbl>
    <w:p>
      <w:pPr>
        <w:spacing w:after="40"/>
      </w:pPr>
    </w:p>
    <w:p>
      <w:pPr>
        <w:pStyle w:val="Heading2"/>
      </w:pPr>
      <w:r>
        <w:t>5.11 Open Source, Self-Hosting und Administration</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1250"/>
        <w:gridCol w:w="850"/>
        <w:gridCol w:w="4300"/>
        <w:gridCol w:w="2960"/>
      </w:tblGrid>
      <w:tr>
        <w:trPr>
          <w:cantSplit w:val="1"/>
          <w:tblHeader w:val="true"/>
        </w:trPr>
        <w:tc>
          <w:tcPr>
            <w:tcW w:type="dxa" w:w="1250"/>
            <w:tcMar>
              <w:top w:w="80" w:type="dxa"/>
              <w:start w:w="120" w:type="dxa"/>
              <w:bottom w:w="80" w:type="dxa"/>
              <w:end w:w="120" w:type="dxa"/>
            </w:tcMar>
            <w:vAlign w:val="center"/>
            <w:shd w:fill="E8EEF5"/>
          </w:tcPr>
          <w:p>
            <w:pPr>
              <w:spacing w:after="0"/>
              <w:jc w:val="center"/>
            </w:pPr>
            <w:r>
              <w:rPr>
                <w:rFonts w:ascii="Calibri" w:hAnsi="Calibri" w:eastAsia="Calibri"/>
                <w:b/>
                <w:color w:val="17365D"/>
                <w:sz w:val="18"/>
              </w:rPr>
              <w:t>ID</w:t>
            </w:r>
          </w:p>
        </w:tc>
        <w:tc>
          <w:tcPr>
            <w:tcW w:type="dxa" w:w="850"/>
            <w:tcMar>
              <w:top w:w="80" w:type="dxa"/>
              <w:start w:w="120" w:type="dxa"/>
              <w:bottom w:w="80" w:type="dxa"/>
              <w:end w:w="120" w:type="dxa"/>
            </w:tcMar>
            <w:vAlign w:val="center"/>
            <w:shd w:fill="E8EEF5"/>
          </w:tcPr>
          <w:p>
            <w:pPr>
              <w:spacing w:after="0"/>
              <w:jc w:val="center"/>
            </w:pPr>
            <w:r>
              <w:rPr>
                <w:rFonts w:ascii="Calibri" w:hAnsi="Calibri" w:eastAsia="Calibri"/>
                <w:b/>
                <w:color w:val="17365D"/>
                <w:sz w:val="18"/>
              </w:rPr>
              <w:t>Prio</w:t>
            </w:r>
          </w:p>
        </w:tc>
        <w:tc>
          <w:tcPr>
            <w:tcW w:type="dxa" w:w="43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Anforderung (Was)</w:t>
            </w:r>
          </w:p>
        </w:tc>
        <w:tc>
          <w:tcPr>
            <w:tcW w:type="dxa" w:w="29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Abnahmekriterium</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LH-OSS-01</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UAS-Smart-Kern, Buildskripte, Datenbankschema, Deploymentvorlagen und Dokumentation werden unter einer OSI-konformen Lizenz veröffentlicht.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 Dritter kann den veröffentlichten Stand ohne proprietären Builddienst erstellen und betreiben.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LH-OSS-02</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Referenzbetrieb funktioniert vollständig auf eigener Linux-Infrastruktur ohne verpflichtende SaaS-Komponente.</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Flugbuch, Planung, Streaming, Exporte und Backups funktionieren bei abgeschalteten optionalen Cloud-Connectoren.</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LH-OSS-03</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Komponenten, Lizenzen und bekannte Schwachstellen werden als SBOM und Lizenzbericht je Release dokumentiert.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Release enthält maschinenlesbare SBOM; unvereinbare Lizenzen blockieren die Freigabe.</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LH-OSS-04</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Proprietäre Herstellerintegrationen sind technisch und rechtlich vom offenen Kern getrennt.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Deaktivieren eines Connectors entfernt keine Kernfunktion und löscht keine importierten Nachweise.</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LH-OSS-05</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Installation und Upgrade werden für Docker Compose und alternativ Podman dokumentiert.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Neuinstallation und Upgrade von der Vorversion bestehen automatisierte Smoke-Tests.</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LH-OSS-06</w:t>
            </w:r>
          </w:p>
        </w:tc>
        <w:tc>
          <w:tcPr>
            <w:tcW w:type="dxa" w:w="850"/>
            <w:shd w:fill="FFF4D6"/>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Signierte Updates können durch einen Administrator über die Weboberfläche geprüft, gesichert und angestoßen werden.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UI zeigt Version, Änderungen, Backupstatus, Migration und Ergebnis; kein stilles Auto-Update.</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LH-OSS-07</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Daten und Konfiguration lassen sich vollständig in offenen Formaten sichern und wiederherstellen.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Restore auf frischer Installation rekonstruiert einen Prüfeinsatz einschließlich Dateien, Rechte und Audit.</w:t>
            </w:r>
          </w:p>
        </w:tc>
      </w:tr>
      <w:tr>
        <w:trPr>
          <w:cantSplit w:val="1"/>
        </w:trPr>
        <w:tc>
          <w:tcPr>
            <w:tcW w:type="dxa" w:w="1250"/>
            <w:tcMar>
              <w:top w:w="80" w:type="dxa"/>
              <w:start w:w="120" w:type="dxa"/>
              <w:bottom w:w="80" w:type="dxa"/>
              <w:end w:w="120" w:type="dxa"/>
            </w:tcMar>
            <w:vAlign w:val="center"/>
          </w:tcPr>
          <w:p>
            <w:pPr>
              <w:spacing w:after="0" w:line="240" w:lineRule="auto"/>
              <w:jc w:val="center"/>
            </w:pPr>
            <w:r>
              <w:rPr>
                <w:rFonts w:ascii="Calibri" w:hAnsi="Calibri" w:eastAsia="Calibri"/>
                <w:b/>
                <w:color w:val="1F2937"/>
                <w:sz w:val="17"/>
              </w:rPr>
              <w:t>LH-OSS-08</w:t>
            </w:r>
          </w:p>
        </w:tc>
        <w:tc>
          <w:tcPr>
            <w:tcW w:type="dxa" w:w="850"/>
            <w:shd w:fill="FDECEC"/>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Keine Telemetrie wird ohne ausdrückliche Aktivierung an Projekt- oder Herstellerdienste übertragen.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Netzwerkprüfung zeigt im Standardbetrieb nur vom Administrator konfigurierte Ziele.</w:t>
            </w:r>
          </w:p>
        </w:tc>
      </w:tr>
    </w:tbl>
    <w:p>
      <w:pPr>
        <w:spacing w:after="40"/>
      </w:pPr>
    </w:p>
    <w:p>
      <w:pPr>
        <w:pStyle w:val="Heading1"/>
      </w:pPr>
      <w:r>
        <w:t>6. Nichtfunktionale Anforderungen</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1300"/>
        <w:gridCol w:w="1900"/>
        <w:gridCol w:w="6160"/>
      </w:tblGrid>
      <w:tr>
        <w:trPr>
          <w:cantSplit w:val="1"/>
          <w:tblHeader w:val="true"/>
        </w:trPr>
        <w:tc>
          <w:tcPr>
            <w:tcW w:type="dxa" w:w="13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ID</w:t>
            </w:r>
          </w:p>
        </w:tc>
        <w:tc>
          <w:tcPr>
            <w:tcW w:type="dxa" w:w="19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Bereich</w:t>
            </w:r>
          </w:p>
        </w:tc>
        <w:tc>
          <w:tcPr>
            <w:tcW w:type="dxa" w:w="61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Anforderung</w:t>
            </w:r>
          </w:p>
        </w:tc>
      </w:tr>
      <w:tr>
        <w:trPr>
          <w:cantSplit w:val="1"/>
        </w:trPr>
        <w:tc>
          <w:tcPr>
            <w:tcW w:type="dxa" w:w="1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LH-NF-01</w:t>
            </w:r>
          </w:p>
        </w:tc>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Sicherheit</w:t>
            </w:r>
          </w:p>
        </w:tc>
        <w:tc>
          <w:tcPr>
            <w:tcW w:type="dxa" w:w="6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Transport- und Speicherverschlüsselung, 2FA, Rollenrechte, Rate Limits, sichere Sitzungen und Secret-Management.</w:t>
            </w:r>
          </w:p>
        </w:tc>
      </w:tr>
      <w:tr>
        <w:trPr>
          <w:cantSplit w:val="1"/>
        </w:trPr>
        <w:tc>
          <w:tcPr>
            <w:tcW w:type="dxa" w:w="1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LH-NF-02</w:t>
            </w:r>
          </w:p>
        </w:tc>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Integrität</w:t>
            </w:r>
          </w:p>
        </w:tc>
        <w:tc>
          <w:tcPr>
            <w:tcW w:type="dxa" w:w="6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Append-only Audit, unveränderte Rohdateien, Prüfsummen, Revisionen statt Überschreiben.</w:t>
            </w:r>
          </w:p>
        </w:tc>
      </w:tr>
      <w:tr>
        <w:trPr>
          <w:cantSplit w:val="1"/>
        </w:trPr>
        <w:tc>
          <w:tcPr>
            <w:tcW w:type="dxa" w:w="1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LH-NF-03</w:t>
            </w:r>
          </w:p>
        </w:tc>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Datenschutz</w:t>
            </w:r>
          </w:p>
        </w:tc>
        <w:tc>
          <w:tcPr>
            <w:tcW w:type="dxa" w:w="6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Privacy by Default, Datensparsamkeit, Lösch-/Sperrkonzept, EU-Hosting und Auftragsverarbeitungsfähigkeit.</w:t>
            </w:r>
          </w:p>
        </w:tc>
      </w:tr>
      <w:tr>
        <w:trPr>
          <w:cantSplit w:val="1"/>
        </w:trPr>
        <w:tc>
          <w:tcPr>
            <w:tcW w:type="dxa" w:w="1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LH-NF-04</w:t>
            </w:r>
          </w:p>
        </w:tc>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Verfügbarkeit</w:t>
            </w:r>
          </w:p>
        </w:tc>
        <w:tc>
          <w:tcPr>
            <w:tcW w:type="dxa" w:w="6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Ziel 99,5 % pro Monat, ausgenommen angekündigte Wartungsfenster.</w:t>
            </w:r>
          </w:p>
        </w:tc>
      </w:tr>
      <w:tr>
        <w:trPr>
          <w:cantSplit w:val="1"/>
        </w:trPr>
        <w:tc>
          <w:tcPr>
            <w:tcW w:type="dxa" w:w="1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LH-NF-05</w:t>
            </w:r>
          </w:p>
        </w:tc>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Wiederherstellung</w:t>
            </w:r>
          </w:p>
        </w:tc>
        <w:tc>
          <w:tcPr>
            <w:tcW w:type="dxa" w:w="6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RPO maximal 4 Stunden, RTO maximal 8 Stunden; Wiederherstellung regelmäßig testen.</w:t>
            </w:r>
          </w:p>
        </w:tc>
      </w:tr>
      <w:tr>
        <w:trPr>
          <w:cantSplit w:val="1"/>
        </w:trPr>
        <w:tc>
          <w:tcPr>
            <w:tcW w:type="dxa" w:w="1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LH-NF-06</w:t>
            </w:r>
          </w:p>
        </w:tc>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Leistung</w:t>
            </w:r>
          </w:p>
        </w:tc>
        <w:tc>
          <w:tcPr>
            <w:tcW w:type="dxa" w:w="6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95 % der Standardansichten unter 2 Sekunden bei 10.000 Flügen; große Importe asynchron.</w:t>
            </w:r>
          </w:p>
        </w:tc>
      </w:tr>
      <w:tr>
        <w:trPr>
          <w:cantSplit w:val="1"/>
        </w:trPr>
        <w:tc>
          <w:tcPr>
            <w:tcW w:type="dxa" w:w="1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LH-NF-07</w:t>
            </w:r>
          </w:p>
        </w:tc>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Skalierung</w:t>
            </w:r>
          </w:p>
        </w:tc>
        <w:tc>
          <w:tcPr>
            <w:tcW w:type="dxa" w:w="6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Mindestens 100.000 Flüge je Organisation und Telemetrieauslagerung ohne UI-Einbruch.</w:t>
            </w:r>
          </w:p>
        </w:tc>
      </w:tr>
      <w:tr>
        <w:trPr>
          <w:cantSplit w:val="1"/>
        </w:trPr>
        <w:tc>
          <w:tcPr>
            <w:tcW w:type="dxa" w:w="1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LH-NF-08</w:t>
            </w:r>
          </w:p>
        </w:tc>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Bedienbarkeit</w:t>
            </w:r>
          </w:p>
        </w:tc>
        <w:tc>
          <w:tcPr>
            <w:tcW w:type="dxa" w:w="6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Responsive ab 360 px, Tastaturbedienung, klare Mobilabläufe und barrierearme Gestaltung nach WCAG 2.2 AA.</w:t>
            </w:r>
          </w:p>
        </w:tc>
      </w:tr>
      <w:tr>
        <w:trPr>
          <w:cantSplit w:val="1"/>
        </w:trPr>
        <w:tc>
          <w:tcPr>
            <w:tcW w:type="dxa" w:w="1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LH-NF-09</w:t>
            </w:r>
          </w:p>
        </w:tc>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Nachvollziehbarkeit</w:t>
            </w:r>
          </w:p>
        </w:tc>
        <w:tc>
          <w:tcPr>
            <w:tcW w:type="dxa" w:w="6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Jede automatisierte Berechnung zeigt Quelle, Regelversion und Rechenweg.</w:t>
            </w:r>
          </w:p>
        </w:tc>
      </w:tr>
      <w:tr>
        <w:trPr>
          <w:cantSplit w:val="1"/>
        </w:trPr>
        <w:tc>
          <w:tcPr>
            <w:tcW w:type="dxa" w:w="1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LH-NF-10</w:t>
            </w:r>
          </w:p>
        </w:tc>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Portabilität</w:t>
            </w:r>
          </w:p>
        </w:tc>
        <w:tc>
          <w:tcPr>
            <w:tcW w:type="dxa" w:w="6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Vollständiger Export ohne proprietäre Sackgasse; dokumentierte REST-API.</w:t>
            </w:r>
          </w:p>
        </w:tc>
      </w:tr>
      <w:tr>
        <w:trPr>
          <w:cantSplit w:val="1"/>
        </w:trPr>
        <w:tc>
          <w:tcPr>
            <w:tcW w:type="dxa" w:w="1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LH-NF-11</w:t>
            </w:r>
          </w:p>
        </w:tc>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Internationalisierung</w:t>
            </w:r>
          </w:p>
        </w:tc>
        <w:tc>
          <w:tcPr>
            <w:tcW w:type="dxa" w:w="6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Deutsch ab V1; Englisch und weitere EASA-Länder ohne Schemaumbau möglich.</w:t>
            </w:r>
          </w:p>
        </w:tc>
      </w:tr>
      <w:tr>
        <w:trPr>
          <w:cantSplit w:val="1"/>
        </w:trPr>
        <w:tc>
          <w:tcPr>
            <w:tcW w:type="dxa" w:w="1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LH-NF-12</w:t>
            </w:r>
          </w:p>
        </w:tc>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Betrieb</w:t>
            </w:r>
          </w:p>
        </w:tc>
        <w:tc>
          <w:tcPr>
            <w:tcW w:type="dxa" w:w="6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Überwachung, Alarmierung, Backups, Update- und Migrationskonzept sowie manipulationsgeschützte Betriebslogs.</w:t>
            </w:r>
          </w:p>
        </w:tc>
      </w:tr>
      <w:tr>
        <w:trPr>
          <w:cantSplit w:val="1"/>
        </w:trPr>
        <w:tc>
          <w:tcPr>
            <w:tcW w:type="dxa" w:w="1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LH-NF-13</w:t>
            </w:r>
          </w:p>
        </w:tc>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Streaming</w:t>
            </w:r>
          </w:p>
        </w:tc>
        <w:tc>
          <w:tcPr>
            <w:tcW w:type="dxa" w:w="6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Ziel für WebRTC-Glas-zu-Glas-Latenz unter 2 Sekunden im geeigneten Netz; HLS darf höhere Latenz klar anzeigen.</w:t>
            </w:r>
          </w:p>
        </w:tc>
      </w:tr>
      <w:tr>
        <w:trPr>
          <w:cantSplit w:val="1"/>
        </w:trPr>
        <w:tc>
          <w:tcPr>
            <w:tcW w:type="dxa" w:w="1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LH-NF-14</w:t>
            </w:r>
          </w:p>
        </w:tc>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Kapazität</w:t>
            </w:r>
          </w:p>
        </w:tc>
        <w:tc>
          <w:tcPr>
            <w:tcW w:type="dxa" w:w="6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Referenzlast mindestens 5 parallele Eingangskanäle und 25 Zuschauer ohne Transkodierung; endgültige Grenze wird per Lasttest je Serverprofil festgelegt.</w:t>
            </w:r>
          </w:p>
        </w:tc>
      </w:tr>
      <w:tr>
        <w:trPr>
          <w:cantSplit w:val="1"/>
        </w:trPr>
        <w:tc>
          <w:tcPr>
            <w:tcW w:type="dxa" w:w="1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LH-NF-15</w:t>
            </w:r>
          </w:p>
        </w:tc>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Medienrobustheit</w:t>
            </w:r>
          </w:p>
        </w:tc>
        <w:tc>
          <w:tcPr>
            <w:tcW w:type="dxa" w:w="6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 fehlerhafter, bösartiger oder abgebrochener Stream darf Webanwendung, andere Streams oder Dateispeicher nicht beeinträchtigen.</w:t>
            </w:r>
          </w:p>
        </w:tc>
      </w:tr>
      <w:tr>
        <w:trPr>
          <w:cantSplit w:val="1"/>
        </w:trPr>
        <w:tc>
          <w:tcPr>
            <w:tcW w:type="dxa" w:w="1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LH-NF-16</w:t>
            </w:r>
          </w:p>
        </w:tc>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Offenheit</w:t>
            </w:r>
          </w:p>
        </w:tc>
        <w:tc>
          <w:tcPr>
            <w:tcW w:type="dxa" w:w="6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Reproduzierbare Builds, SBOM, dokumentierte Lizenzen, offene Exporte und keine verpflichtende Anbieter-Cloud.</w:t>
            </w:r>
          </w:p>
        </w:tc>
      </w:tr>
      <w:tr>
        <w:trPr>
          <w:cantSplit w:val="1"/>
        </w:trPr>
        <w:tc>
          <w:tcPr>
            <w:tcW w:type="dxa" w:w="1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LH-NF-17</w:t>
            </w:r>
          </w:p>
        </w:tc>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Karten/Quellen</w:t>
            </w:r>
          </w:p>
        </w:tc>
        <w:tc>
          <w:tcPr>
            <w:tcW w:type="dxa" w:w="6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Jede externe Luftraum-, Geo-Zonen-, Karten- oder Wetterquelle wird mit Lizenz, Nutzungsbedingungen, Aktualität und Ausfallverhalten dokumentiert.</w:t>
            </w:r>
          </w:p>
        </w:tc>
      </w:tr>
      <w:tr>
        <w:trPr>
          <w:cantSplit w:val="1"/>
        </w:trPr>
        <w:tc>
          <w:tcPr>
            <w:tcW w:type="dxa" w:w="1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LH-NF-18</w:t>
            </w:r>
          </w:p>
        </w:tc>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Browser</w:t>
            </w:r>
          </w:p>
        </w:tc>
        <w:tc>
          <w:tcPr>
            <w:tcW w:type="dxa" w:w="6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Unterstützt werden die jeweils zwei aktuellen Hauptversionen von Firefox, Chromium/Chrome, Edge und Safari; Mobilgeräte werden gesondert getestet.</w:t>
            </w:r>
          </w:p>
        </w:tc>
      </w:tr>
    </w:tbl>
    <w:p>
      <w:pPr>
        <w:spacing w:after="40"/>
      </w:pPr>
    </w:p>
    <w:p>
      <w:pPr>
        <w:pStyle w:val="Heading1"/>
      </w:pPr>
      <w:r>
        <w:t>7. Leistungsabgrenzung</w:t>
      </w:r>
    </w:p>
    <w:p>
      <w:pPr>
        <w:pStyle w:val="Heading2"/>
      </w:pPr>
      <w:r>
        <w:t>7.1 Im Zielumfang</w:t>
      </w:r>
    </w:p>
    <w:p>
      <w:pPr>
        <w:spacing w:after="80" w:line="300" w:lineRule="auto"/>
        <w:numPr>
          <w:ilvl w:val="0"/>
          <w:numId w:val="10"/>
        </w:numPr>
      </w:pPr>
      <w:r>
        <w:rPr>
          <w:rFonts w:ascii="Calibri" w:hAnsi="Calibri" w:eastAsia="Calibri"/>
          <w:color w:val="1F2937"/>
        </w:rPr>
        <w:t>Flugbuch für private und gewerbliche Nutzung mit getrenntem Rechtsstatus.</w:t>
      </w:r>
    </w:p>
    <w:p>
      <w:pPr>
        <w:spacing w:after="80" w:line="300" w:lineRule="auto"/>
        <w:numPr>
          <w:ilvl w:val="0"/>
          <w:numId w:val="10"/>
        </w:numPr>
      </w:pPr>
      <w:r>
        <w:rPr>
          <w:rFonts w:ascii="Calibri" w:hAnsi="Calibri" w:eastAsia="Calibri"/>
          <w:color w:val="1F2937"/>
        </w:rPr>
        <w:t>DJI-Import, generischer Import, versionierte Adapterarchitektur.</w:t>
      </w:r>
    </w:p>
    <w:p>
      <w:pPr>
        <w:spacing w:after="80" w:line="300" w:lineRule="auto"/>
        <w:numPr>
          <w:ilvl w:val="0"/>
          <w:numId w:val="10"/>
        </w:numPr>
      </w:pPr>
      <w:r>
        <w:rPr>
          <w:rFonts w:ascii="Calibri" w:hAnsi="Calibri" w:eastAsia="Calibri"/>
          <w:color w:val="1F2937"/>
        </w:rPr>
        <w:t>Einsatzplanung mit Karte, Ressourcen, Risikoevidenzen, Briefing und organisationsinterner Freigabe.</w:t>
      </w:r>
    </w:p>
    <w:p>
      <w:pPr>
        <w:spacing w:after="80" w:line="300" w:lineRule="auto"/>
        <w:numPr>
          <w:ilvl w:val="0"/>
          <w:numId w:val="10"/>
        </w:numPr>
      </w:pPr>
      <w:r>
        <w:rPr>
          <w:rFonts w:ascii="Calibri" w:hAnsi="Calibri" w:eastAsia="Calibri"/>
          <w:color w:val="1F2937"/>
        </w:rPr>
        <w:t>Live-Einsatzzentrale mit geschütztem Publish, WebRTC/HLS-Wiedergabe, Standbildern und optionaler Aufzeichnung.</w:t>
      </w:r>
    </w:p>
    <w:p>
      <w:pPr>
        <w:spacing w:after="80" w:line="300" w:lineRule="auto"/>
        <w:numPr>
          <w:ilvl w:val="0"/>
          <w:numId w:val="10"/>
        </w:numPr>
      </w:pPr>
      <w:r>
        <w:rPr>
          <w:rFonts w:ascii="Calibri" w:hAnsi="Calibri" w:eastAsia="Calibri"/>
          <w:color w:val="1F2937"/>
        </w:rPr>
        <w:t>Piloten-, Flotten-, Batterie-, Wartungs-, Nachweis- und Ereignisverwaltung.</w:t>
      </w:r>
    </w:p>
    <w:p>
      <w:pPr>
        <w:spacing w:after="80" w:line="300" w:lineRule="auto"/>
        <w:numPr>
          <w:ilvl w:val="0"/>
          <w:numId w:val="10"/>
        </w:numPr>
      </w:pPr>
      <w:r>
        <w:rPr>
          <w:rFonts w:ascii="Calibri" w:hAnsi="Calibri" w:eastAsia="Calibri"/>
          <w:color w:val="1F2937"/>
        </w:rPr>
        <w:t>Compliance-Hinweise, Fristen, Revisionssicherheit und Exporte.</w:t>
      </w:r>
    </w:p>
    <w:p>
      <w:pPr>
        <w:spacing w:after="80" w:line="300" w:lineRule="auto"/>
        <w:numPr>
          <w:ilvl w:val="0"/>
          <w:numId w:val="10"/>
        </w:numPr>
      </w:pPr>
      <w:r>
        <w:rPr>
          <w:rFonts w:ascii="Calibri" w:hAnsi="Calibri" w:eastAsia="Calibri"/>
          <w:color w:val="1F2937"/>
        </w:rPr>
        <w:t>Mandantenfähigkeit, Rollen, PWA, API-Basis, Open-Source-Code und Self-Hosting-Paket.</w:t>
      </w:r>
    </w:p>
    <w:p>
      <w:pPr>
        <w:pStyle w:val="Heading2"/>
      </w:pPr>
      <w:r>
        <w:t>7.2 Nicht im ersten Produktumfang</w:t>
      </w:r>
    </w:p>
    <w:p>
      <w:pPr>
        <w:spacing w:after="80" w:line="300" w:lineRule="auto"/>
        <w:numPr>
          <w:ilvl w:val="0"/>
          <w:numId w:val="10"/>
        </w:numPr>
      </w:pPr>
      <w:r>
        <w:rPr>
          <w:rFonts w:ascii="Calibri" w:hAnsi="Calibri" w:eastAsia="Calibri"/>
          <w:color w:val="1F2937"/>
        </w:rPr>
        <w:t>Fernsteuerung, Command-and-Control, Live-Telemetriesteuerung oder autonome Flugausführung.</w:t>
      </w:r>
    </w:p>
    <w:p>
      <w:pPr>
        <w:spacing w:after="80" w:line="300" w:lineRule="auto"/>
        <w:numPr>
          <w:ilvl w:val="0"/>
          <w:numId w:val="10"/>
        </w:numPr>
      </w:pPr>
      <w:r>
        <w:rPr>
          <w:rFonts w:ascii="Calibri" w:hAnsi="Calibri" w:eastAsia="Calibri"/>
          <w:color w:val="1F2937"/>
        </w:rPr>
        <w:t>Behördlich verbindliche Flugfreigabe oder garantierte Rechtskonformität.</w:t>
      </w:r>
    </w:p>
    <w:p>
      <w:pPr>
        <w:spacing w:after="80" w:line="300" w:lineRule="auto"/>
        <w:numPr>
          <w:ilvl w:val="0"/>
          <w:numId w:val="10"/>
        </w:numPr>
      </w:pPr>
      <w:r>
        <w:rPr>
          <w:rFonts w:ascii="Calibri" w:hAnsi="Calibri" w:eastAsia="Calibri"/>
          <w:color w:val="1F2937"/>
        </w:rPr>
        <w:t>Automatische Einreichung von Ereignismeldungen ohne explizite Prüfung und Bestätigung.</w:t>
      </w:r>
    </w:p>
    <w:p>
      <w:pPr>
        <w:spacing w:after="80" w:line="300" w:lineRule="auto"/>
        <w:numPr>
          <w:ilvl w:val="0"/>
          <w:numId w:val="10"/>
        </w:numPr>
      </w:pPr>
      <w:r>
        <w:rPr>
          <w:rFonts w:ascii="Calibri" w:hAnsi="Calibri" w:eastAsia="Calibri"/>
          <w:color w:val="1F2937"/>
        </w:rPr>
        <w:t>Bildanalyse, Gesichtserkennung, Personenverfolgung oder automatische Lagebewertung aus Videodaten.</w:t>
      </w:r>
    </w:p>
    <w:p>
      <w:pPr>
        <w:spacing w:after="80" w:line="300" w:lineRule="auto"/>
        <w:numPr>
          <w:ilvl w:val="0"/>
          <w:numId w:val="10"/>
        </w:numPr>
      </w:pPr>
      <w:r>
        <w:rPr>
          <w:rFonts w:ascii="Calibri" w:hAnsi="Calibri" w:eastAsia="Calibri"/>
          <w:color w:val="1F2937"/>
        </w:rPr>
        <w:t>Dauerhafte öffentliche Streamingplattform oder CDN für unbeschränkte Zuschauerzahlen.</w:t>
      </w:r>
    </w:p>
    <w:p>
      <w:pPr>
        <w:spacing w:after="80" w:line="300" w:lineRule="auto"/>
        <w:numPr>
          <w:ilvl w:val="0"/>
          <w:numId w:val="10"/>
        </w:numPr>
      </w:pPr>
      <w:r>
        <w:rPr>
          <w:rFonts w:ascii="Calibri" w:hAnsi="Calibri" w:eastAsia="Calibri"/>
          <w:color w:val="1F2937"/>
        </w:rPr>
        <w:t>Vollständige Continuing-Airworthiness-Funktionen der zulassungspflichtigen Kategorie.</w:t>
      </w:r>
    </w:p>
    <w:p>
      <w:pPr>
        <w:spacing w:after="80" w:line="300" w:lineRule="auto"/>
        <w:numPr>
          <w:ilvl w:val="0"/>
          <w:numId w:val="10"/>
        </w:numPr>
      </w:pPr>
      <w:r>
        <w:rPr>
          <w:rFonts w:ascii="Calibri" w:hAnsi="Calibri" w:eastAsia="Calibri"/>
          <w:color w:val="1F2937"/>
        </w:rPr>
        <w:t>Rechnungsstellung/Buchhaltung; kaufmännische Referenzfelder bleiben möglich.</w:t>
      </w:r>
    </w:p>
    <w:p>
      <w:pPr>
        <w:pStyle w:val="Heading1"/>
      </w:pPr>
      <w:r>
        <w:t>8. Fachliche Abnahme</w:t>
      </w:r>
    </w:p>
    <w:p>
      <w:r>
        <w:rPr>
          <w:rFonts w:ascii="Calibri" w:hAnsi="Calibri" w:eastAsia="Calibri"/>
          <w:color w:val="1F2937"/>
        </w:rPr>
        <w:t>Die fachliche Abnahme gilt als erreicht, wenn alle Muss-Anforderungen umgesetzt, dokumentiert und durch die in Abschnitt 19 definierten Tests nachgewiesen sind. Soll-Anforderungen dürfen nur mit dokumentierter Begründung und ohne Beeinträchtigung der rechtlichen Kernfunktionen verschoben werden.</w:t>
      </w:r>
    </w:p>
    <w:p>
      <w:r>
        <w:br w:type="page"/>
      </w:r>
    </w:p>
    <w:p>
      <w:pPr>
        <w:pStyle w:val="Heading1"/>
      </w:pPr>
      <w:r>
        <w:t>TEIL B - PFLICHTENHEFT</w:t>
      </w:r>
    </w:p>
    <w:p>
      <w:r>
        <w:rPr>
          <w:rFonts w:ascii="Calibri" w:hAnsi="Calibri" w:eastAsia="Calibri"/>
          <w:color w:val="1F2937"/>
        </w:rPr>
        <w:t>Der folgende Teil beschreibt die empfohlene technische Realisierung des Zielumfangs.</w:t>
      </w:r>
    </w:p>
    <w:p>
      <w:pPr>
        <w:pStyle w:val="Heading1"/>
      </w:pPr>
      <w:r>
        <w:t>9. Lösungsarchitektur</w:t>
      </w:r>
    </w:p>
    <w:p>
      <w:pPr>
        <w:pStyle w:val="Heading2"/>
      </w:pPr>
      <w:r>
        <w:t>9.1 Architekturprinzip</w:t>
      </w:r>
    </w:p>
    <w:p>
      <w:r>
        <w:rPr>
          <w:rFonts w:ascii="Calibri" w:hAnsi="Calibri" w:eastAsia="Calibri"/>
          <w:color w:val="1F2937"/>
        </w:rPr>
        <w:t>Vorgeschlagen wird eine modulare, containerisierte Open-Source-Architektur. Eine responsive Django-Webanwendung/PWA kommuniziert über eine versionierte REST-API mit dem Fachdienst. Relationale und räumliche Daten liegen in PostgreSQL/PostGIS; Rohlogs, Nachweise und Medien in lokalem oder S3-kompatiblem Objektspeicher. MediaMTX bildet eine getrennte Medienebene. Import, Virenprüfung, Telemetrie, Benachrichtigungen, Berichte und gesteuerte Medienjobs laufen asynchron.</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2200"/>
        <w:gridCol w:w="3400"/>
        <w:gridCol w:w="3760"/>
      </w:tblGrid>
      <w:tr>
        <w:trPr>
          <w:cantSplit w:val="1"/>
          <w:tblHeader w:val="true"/>
        </w:trPr>
        <w:tc>
          <w:tcPr>
            <w:tcW w:type="dxa" w:w="22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Komponente</w:t>
            </w:r>
          </w:p>
        </w:tc>
        <w:tc>
          <w:tcPr>
            <w:tcW w:type="dxa" w:w="34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Vorgabe</w:t>
            </w:r>
          </w:p>
        </w:tc>
        <w:tc>
          <w:tcPr>
            <w:tcW w:type="dxa" w:w="37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Verantwortung</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PWA/Frontend</w:t>
            </w:r>
          </w:p>
        </w:tc>
        <w:tc>
          <w:tcPr>
            <w:tcW w:type="dxa" w:w="34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Django-Templates/HTMX oder klar getrenntes offenes Frontend; MapLibre-Karte.</w:t>
            </w:r>
          </w:p>
        </w:tc>
        <w:tc>
          <w:tcPr>
            <w:tcW w:type="dxa" w:w="3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Erfassung, Planung, Livebild, Prüfung, Suche und Dashboard.</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API/Backend</w:t>
            </w:r>
          </w:p>
        </w:tc>
        <w:tc>
          <w:tcPr>
            <w:tcW w:type="dxa" w:w="34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Django, Django REST Framework, OpenAPI.</w:t>
            </w:r>
          </w:p>
        </w:tc>
        <w:tc>
          <w:tcPr>
            <w:tcW w:type="dxa" w:w="3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Fachlogik, Rechte, Validierung, Freigaben und Exporte.</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PostgreSQL/PostGIS</w:t>
            </w:r>
          </w:p>
        </w:tc>
        <w:tc>
          <w:tcPr>
            <w:tcW w:type="dxa" w:w="34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Relationale Daten plus Geometrien.</w:t>
            </w:r>
          </w:p>
        </w:tc>
        <w:tc>
          <w:tcPr>
            <w:tcW w:type="dxa" w:w="3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Mandanten, Flüge, Regeln, Revisionen, räumliche Abfragen.</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Valkey + Worker</w:t>
            </w:r>
          </w:p>
        </w:tc>
        <w:tc>
          <w:tcPr>
            <w:tcW w:type="dxa" w:w="34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Celery/RQ-ähnliche Jobs mit Ressourcenlimits.</w:t>
            </w:r>
          </w:p>
        </w:tc>
        <w:tc>
          <w:tcPr>
            <w:tcW w:type="dxa" w:w="3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Import, Fristen, Reports, Benachrichtigungen, Mediennachlauf.</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Objektspeicher</w:t>
            </w:r>
          </w:p>
        </w:tc>
        <w:tc>
          <w:tcPr>
            <w:tcW w:type="dxa" w:w="34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Lokales Volume oder S3-kompatibel, verschlüsselt/versionierbar.</w:t>
            </w:r>
          </w:p>
        </w:tc>
        <w:tc>
          <w:tcPr>
            <w:tcW w:type="dxa" w:w="3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Rohlogs, Nachweise, Berichte, Snapshots, Aufzeichnungen.</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MediaMTX</w:t>
            </w:r>
          </w:p>
        </w:tc>
        <w:tc>
          <w:tcPr>
            <w:tcW w:type="dxa" w:w="34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Separater Open-Source-Medienserver.</w:t>
            </w:r>
          </w:p>
        </w:tc>
        <w:tc>
          <w:tcPr>
            <w:tcW w:type="dxa" w:w="3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RTSP/RTMP/SRT-Ingest, WebRTC/HLS-Ausgabe, Auth-Hooks und Recording.</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coturn</w:t>
            </w:r>
          </w:p>
        </w:tc>
        <w:tc>
          <w:tcPr>
            <w:tcW w:type="dxa" w:w="34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Optionaler STUN/TURN-Dienst.</w:t>
            </w:r>
          </w:p>
        </w:tc>
        <w:tc>
          <w:tcPr>
            <w:tcW w:type="dxa" w:w="3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WebRTC-Erreichbarkeit bei NAT/Firewalls; eigene Zugangsdaten und Quoten.</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FFmpeg</w:t>
            </w:r>
          </w:p>
        </w:tc>
        <w:tc>
          <w:tcPr>
            <w:tcW w:type="dxa" w:w="34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Isolierte, begrenzte Prozesse; standardmäßig kein Transcoding.</w:t>
            </w:r>
          </w:p>
        </w:tc>
        <w:tc>
          <w:tcPr>
            <w:tcW w:type="dxa" w:w="3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Optional Aufzeichnung, Thumbnail oder explizite Codec-Konvertierung.</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Regelmodul</w:t>
            </w:r>
          </w:p>
        </w:tc>
        <w:tc>
          <w:tcPr>
            <w:tcW w:type="dxa" w:w="34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Versionierte Rule Packs je Land/Datum.</w:t>
            </w:r>
          </w:p>
        </w:tc>
        <w:tc>
          <w:tcPr>
            <w:tcW w:type="dxa" w:w="3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Pflichten, Warnungen, Fristen und Quellen.</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Berichtsdienst</w:t>
            </w:r>
          </w:p>
        </w:tc>
        <w:tc>
          <w:tcPr>
            <w:tcW w:type="dxa" w:w="34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PDF/A-nahe Ausgabe plus CSV/JSON.</w:t>
            </w:r>
          </w:p>
        </w:tc>
        <w:tc>
          <w:tcPr>
            <w:tcW w:type="dxa" w:w="3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Prüfberichte, Flugbuch, Auditpaket.</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Reverse Proxy</w:t>
            </w:r>
          </w:p>
        </w:tc>
        <w:tc>
          <w:tcPr>
            <w:tcW w:type="dxa" w:w="34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Caddy oder Traefik; Nginx optional.</w:t>
            </w:r>
          </w:p>
        </w:tc>
        <w:tc>
          <w:tcPr>
            <w:tcW w:type="dxa" w:w="3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TLS, Routing, Sicherheitsheader, Upload- und Rate-Limits.</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Betriebsplattform</w:t>
            </w:r>
          </w:p>
        </w:tc>
        <w:tc>
          <w:tcPr>
            <w:tcW w:type="dxa" w:w="34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Docker Compose/Podman, Monitoring, Backup, Secret Store.</w:t>
            </w:r>
          </w:p>
        </w:tc>
        <w:tc>
          <w:tcPr>
            <w:tcW w:type="dxa" w:w="3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Sicherer, reproduzierbarer und selbst hostbarer Betrieb.</w:t>
            </w:r>
          </w:p>
        </w:tc>
      </w:tr>
    </w:tbl>
    <w:p>
      <w:pPr>
        <w:spacing w:after="40"/>
      </w:pPr>
    </w:p>
    <w:p>
      <w:pPr>
        <w:pStyle w:val="Heading2"/>
      </w:pPr>
      <w:r>
        <w:t>9.2 Mandantentrennung</w:t>
      </w:r>
    </w:p>
    <w:p>
      <w:r>
        <w:rPr>
          <w:rFonts w:ascii="Calibri" w:hAnsi="Calibri" w:eastAsia="Calibri"/>
          <w:color w:val="1F2937"/>
        </w:rPr>
        <w:t>Jeder fachliche Datensatz erhält eine unveränderbare tenant_id. Zugriffe werden sowohl in der Anwendungslogik als auch durch Datenbankrichtlinien eingeschränkt. Plattform-Support erhält keinen standardmäßigen Inhaltszugriff; eine zeitlich begrenzte Supportfreigabe muss vom Mandanten erteilt und auditiert werden.</w:t>
      </w:r>
    </w:p>
    <w:p>
      <w:pPr>
        <w:pStyle w:val="Heading1"/>
      </w:pPr>
      <w:r>
        <w:t>10. Datenmodell</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1800"/>
        <w:gridCol w:w="2800"/>
        <w:gridCol w:w="4760"/>
      </w:tblGrid>
      <w:tr>
        <w:trPr>
          <w:cantSplit w:val="1"/>
          <w:tblHeader w:val="true"/>
        </w:trPr>
        <w:tc>
          <w:tcPr>
            <w:tcW w:type="dxa" w:w="18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Entität</w:t>
            </w:r>
          </w:p>
        </w:tc>
        <w:tc>
          <w:tcPr>
            <w:tcW w:type="dxa" w:w="28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Zweck</w:t>
            </w:r>
          </w:p>
        </w:tc>
        <w:tc>
          <w:tcPr>
            <w:tcW w:type="dxa" w:w="47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Wesentliche Felder/Beziehungen</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Tenant</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Betreiber/Organisation</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Land, e-ID, Datenschutzrolle, Aufbewahrungsprofil.</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UserMembership</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Benutzer und Rechte</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Benutzer, Tenant, Rolle, Gültigkeit, 2FA-Status.</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PilotProfile</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Pilotenakte</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Identität, Nachweise, Kompetenzen, Arbeitgeberbezug.</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Aircraft</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UAS-Stamm</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Hersteller, Modell, Seriennummer, Klasse, MTOM, Status.</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Component</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Batterie/Controller/Nutzlast</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Typ, Seriennummer, Zähler, Status, Zuordnung.</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Authorisation</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Rechtsgrundlage</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Typ, Behörde, Land, Nummer, Laufzeit, Bedingungen, Version.</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Mission</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Einsatz/Auftrag</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Kunde, Projekt, Zweck, Standort, geplante Crew und Nachweise.</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MissionRevision</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Versionierter Planstand</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Planversion, Änderung, Grund, Ersteller, Freigabestatus.</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OperationVolume</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Räumlich-zeitliche Planung</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Flug-/Kontingenzvolumen, Bodenrisikopuffer, Höhenbezug, 4D-Segmente.</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ResourceReservation</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Belegung</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UAS/Komponente/Person, Zeitfenster, Status, Konfliktgrund.</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CrewAssignment</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Einsatzrolle</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Pilot, Beobachter, Einsatzleiter, Zeitraum, Briefingbestätigung.</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EvidenceSnapshot</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Planungsnachweis</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Typ, Quelle, Abrufzeit, Geltungsbereich, Datei/Hash, Prüfer.</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RiskAssessment</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Risiko und Verfahren</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SORA/PDRA/STS/ConOps-Bezug, Gefährdung, Maßnahme, Restbewertung.</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ReleaseDecision</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Interne Einsatzfreigabe</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Regelstand, harte/softe Befunde, Entscheider, Grund, Zeit, Gültigkeit.</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Flight</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Normalisierter Flug</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Zeit, Ort, Pilot, UAS, Kategorie, Zweck, Status, Summen.</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FlightTelemetry</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Optionale Messreihe</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Zeitstempel, Position, Höhenreferenz, Geschwindigkeit, Signal, Batterie.</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FieldProvenance</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Feldherkunft</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Entität/Feld, Quelle, Rohpfad, Parser-/Regelversion, manuelle Revision.</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RawImport</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Unveränderte Importquelle</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Datei, SHA-256, MIME, Größe, Hersteller, Parserstatus.</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ChecklistRun</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Vor-/Nachflugprüfung</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Vorlage/Version, Antworten, Abweichungen, Bestätigung.</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MaintenanceEvent</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Technische Akte</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Mangel, Maßnahme, Teile, Stunden/Zyklen, Freigabe.</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Occurrence</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Ereignisakte</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Kenntniszeitpunkt, Einstufung, Frist, Bericht, Maßnahmen.</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StreamSession</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Livekanal</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Mission, Quelle, Publish-Pfad, Protokolle, Status, Start/Ende, Policy.</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ViewerGrant</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Zuschauerrecht</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Benutzer/Gastkennung, Stream, Gültigkeit, Widerruf, Wasserzeichenoption.</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Recording</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Aufzeichnungsobjekt</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Zweck, Start/Ende, Datei/Hash, Quota, Löschfrist, Legal Hold.</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Snapshot</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Standbildnachweis</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Stream, UTC-Zeit, Datei/Hash, Ersteller, Notiz, Aufbewahrung.</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RulePack</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Rechts-/Organisationsregeln</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Land, Gültigkeit, Quelle, Regel-ID, Pflichtstufe.</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AuditEvent</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Manipulationsnachweis</w:t>
            </w:r>
          </w:p>
        </w:tc>
        <w:tc>
          <w:tcPr>
            <w:tcW w:type="dxa" w:w="4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Akteur, Aktion, Objekt, Vorher/Nachher-Hash, Zeit, IP/Gerät.</w:t>
            </w:r>
          </w:p>
        </w:tc>
      </w:tr>
    </w:tbl>
    <w:p>
      <w:pPr>
        <w:spacing w:after="40"/>
      </w:pPr>
    </w:p>
    <w:p>
      <w:pPr>
        <w:spacing w:before="120" w:after="200" w:line="264" w:lineRule="auto"/>
        <w:ind w:left="173" w:right="115"/>
        <w:shd w:fill="E8EEF5"/>
        <w:pBdr>
          <w:left w:val="single" w:sz="18" w:space="8" w:color="2E74B5"/>
        </w:pBdr>
      </w:pPr>
      <w:r>
        <w:rPr>
          <w:rFonts w:ascii="Calibri" w:hAnsi="Calibri" w:eastAsia="Calibri"/>
          <w:b/>
          <w:color w:val="2E74B5"/>
        </w:rPr>
        <w:t xml:space="preserve">Datenmodell-Grundsatz: </w:t>
      </w:r>
      <w:r>
        <w:rPr>
          <w:rFonts w:ascii="Calibri" w:hAnsi="Calibri" w:eastAsia="Calibri"/>
          <w:color w:val="1F2937"/>
        </w:rPr>
        <w:t>Ein Flugdatensatz speichert Rohwert, normalisierten Wert und Herkunft getrennt. Beispielsweise darf eine DJI-Höhe über Startpunkt nicht stillschweigend als AGL oder MSL ausgegeben werden.</w:t>
      </w:r>
    </w:p>
    <w:p>
      <w:pPr>
        <w:pStyle w:val="Heading1"/>
      </w:pPr>
      <w:r>
        <w:t>11. Statusmodelle und Kernabläufe</w:t>
      </w:r>
    </w:p>
    <w:p>
      <w:pPr>
        <w:pStyle w:val="Heading2"/>
      </w:pPr>
      <w:r>
        <w:t>11.1 Flugstatus</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2400"/>
        <w:gridCol w:w="6960"/>
      </w:tblGrid>
      <w:tr>
        <w:trPr>
          <w:cantSplit w:val="1"/>
          <w:tblHeader w:val="true"/>
        </w:trPr>
        <w:tc>
          <w:tcPr>
            <w:tcW w:type="dxa" w:w="24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Status</w:t>
            </w:r>
          </w:p>
        </w:tc>
        <w:tc>
          <w:tcPr>
            <w:tcW w:type="dxa" w:w="69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Bedeutung</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Entwurf</w:t>
            </w:r>
          </w:p>
        </w:tc>
        <w:tc>
          <w:tcPr>
            <w:tcW w:type="dxa" w:w="6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Manuell begonnen oder importiert; unvollständig möglich.</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Importiert - ungeprüft</w:t>
            </w:r>
          </w:p>
        </w:tc>
        <w:tc>
          <w:tcPr>
            <w:tcW w:type="dxa" w:w="6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Technische Daten vorhanden, fachliche Zuordnung offen.</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In Prüfung</w:t>
            </w:r>
          </w:p>
        </w:tc>
        <w:tc>
          <w:tcPr>
            <w:tcW w:type="dxa" w:w="6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Pilot/Prüfer ergänzt Kategorie, Genehmigung und Besonderheiten.</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Abgeschlossen</w:t>
            </w:r>
          </w:p>
        </w:tc>
        <w:tc>
          <w:tcPr>
            <w:tcW w:type="dxa" w:w="6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Pflichtfelder bestätigt; fachlicher Stand eingefroren.</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Korrigierte Revision</w:t>
            </w:r>
          </w:p>
        </w:tc>
        <w:tc>
          <w:tcPr>
            <w:tcW w:type="dxa" w:w="6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Neue Version mit Grund; vorherige Version bleibt lesbar.</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Archiviert</w:t>
            </w:r>
          </w:p>
        </w:tc>
        <w:tc>
          <w:tcPr>
            <w:tcW w:type="dxa" w:w="6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Nicht mehr im Tagesgeschäft; Aufbewahrung und Audit bleiben aktiv.</w:t>
            </w:r>
          </w:p>
        </w:tc>
      </w:tr>
    </w:tbl>
    <w:p>
      <w:pPr>
        <w:spacing w:after="40"/>
      </w:pPr>
    </w:p>
    <w:p>
      <w:pPr>
        <w:pStyle w:val="Heading2"/>
      </w:pPr>
      <w:r>
        <w:t>11.2 Abschlussregeln</w:t>
      </w:r>
    </w:p>
    <w:p>
      <w:pPr>
        <w:spacing w:after="80" w:line="300" w:lineRule="auto"/>
        <w:numPr>
          <w:ilvl w:val="0"/>
          <w:numId w:val="10"/>
        </w:numPr>
      </w:pPr>
      <w:r>
        <w:rPr>
          <w:rFonts w:ascii="Calibri" w:hAnsi="Calibri" w:eastAsia="Calibri"/>
          <w:color w:val="1F2937"/>
        </w:rPr>
        <w:t>Abschluss ist nur mit eindeutigem Betreiber, Pilot, UAS, Start/Landung, Zeitzone, Dauer, Ort und Pflichtstatus möglich.</w:t>
      </w:r>
    </w:p>
    <w:p>
      <w:pPr>
        <w:spacing w:after="80" w:line="300" w:lineRule="auto"/>
        <w:numPr>
          <w:ilvl w:val="0"/>
          <w:numId w:val="10"/>
        </w:numPr>
      </w:pPr>
      <w:r>
        <w:rPr>
          <w:rFonts w:ascii="Calibri" w:hAnsi="Calibri" w:eastAsia="Calibri"/>
          <w:color w:val="1F2937"/>
        </w:rPr>
        <w:t>Spezielle Kategorie verlangt zusätzlich Genehmigungs-/Erklärungsbezug, Checklistenstatus und explizite Angabe zu ungewöhnlichen Vorkommnissen.</w:t>
      </w:r>
    </w:p>
    <w:p>
      <w:pPr>
        <w:spacing w:after="80" w:line="300" w:lineRule="auto"/>
        <w:numPr>
          <w:ilvl w:val="0"/>
          <w:numId w:val="10"/>
        </w:numPr>
      </w:pPr>
      <w:r>
        <w:rPr>
          <w:rFonts w:ascii="Calibri" w:hAnsi="Calibri" w:eastAsia="Calibri"/>
          <w:color w:val="1F2937"/>
        </w:rPr>
        <w:t>Ein abgelaufener Nachweis verhindert nicht die Dokumentation. Der Flug wird als Abweichung abgeschlossen und bleibt auswertbar.</w:t>
      </w:r>
    </w:p>
    <w:p>
      <w:pPr>
        <w:spacing w:after="80" w:line="300" w:lineRule="auto"/>
        <w:numPr>
          <w:ilvl w:val="0"/>
          <w:numId w:val="10"/>
        </w:numPr>
      </w:pPr>
      <w:r>
        <w:rPr>
          <w:rFonts w:ascii="Calibri" w:hAnsi="Calibri" w:eastAsia="Calibri"/>
          <w:color w:val="1F2937"/>
        </w:rPr>
        <w:t>Nach Abschluss sind Korrekturen nur über eine neue Revision mit Pflichtgrund möglich.</w:t>
      </w:r>
    </w:p>
    <w:p>
      <w:pPr>
        <w:pStyle w:val="Heading2"/>
      </w:pPr>
      <w:r>
        <w:t>11.3 Ereignisstatus</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2400"/>
        <w:gridCol w:w="6960"/>
      </w:tblGrid>
      <w:tr>
        <w:trPr>
          <w:cantSplit w:val="1"/>
          <w:tblHeader w:val="true"/>
        </w:trPr>
        <w:tc>
          <w:tcPr>
            <w:tcW w:type="dxa" w:w="24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Status</w:t>
            </w:r>
          </w:p>
        </w:tc>
        <w:tc>
          <w:tcPr>
            <w:tcW w:type="dxa" w:w="69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Aktion</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Erfasst</w:t>
            </w:r>
          </w:p>
        </w:tc>
        <w:tc>
          <w:tcPr>
            <w:tcW w:type="dxa" w:w="6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Beobachtung und Kenntniszeitpunkt sichern.</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Triage</w:t>
            </w:r>
          </w:p>
        </w:tc>
        <w:tc>
          <w:tcPr>
            <w:tcW w:type="dxa" w:w="6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Meldekatalog, Schwere, Beteiligte und Zuständigkeit prüfen.</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Meldepflicht möglich</w:t>
            </w:r>
          </w:p>
        </w:tc>
        <w:tc>
          <w:tcPr>
            <w:tcW w:type="dxa" w:w="6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72-Stunden-Timer und Eskalation aktivieren.</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Nicht meldepflichtig</w:t>
            </w:r>
          </w:p>
        </w:tc>
        <w:tc>
          <w:tcPr>
            <w:tcW w:type="dxa" w:w="6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Begründung und Prüfer festhalten; intern weiterbearbeiten möglich.</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Gemeldet</w:t>
            </w:r>
          </w:p>
        </w:tc>
        <w:tc>
          <w:tcPr>
            <w:tcW w:type="dxa" w:w="6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Meldezeit, Empfänger, Referenz und übermittelte Version sichern.</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Follow-up</w:t>
            </w:r>
          </w:p>
        </w:tc>
        <w:tc>
          <w:tcPr>
            <w:tcW w:type="dxa" w:w="6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Ursache, Maßnahmen, 30-Tage-/3-Monats-Fristen falls anwendbar.</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Geschlossen</w:t>
            </w:r>
          </w:p>
        </w:tc>
        <w:tc>
          <w:tcPr>
            <w:tcW w:type="dxa" w:w="6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Abschlussprüfung; Daten bleiben nach Aufbewahrungsprofil geschützt.</w:t>
            </w:r>
          </w:p>
        </w:tc>
      </w:tr>
    </w:tbl>
    <w:p>
      <w:pPr>
        <w:spacing w:after="40"/>
      </w:pPr>
    </w:p>
    <w:p>
      <w:pPr>
        <w:pStyle w:val="Heading2"/>
      </w:pPr>
      <w:r>
        <w:t>11.4 Einsatzstatus und Freigabefluss</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2400"/>
        <w:gridCol w:w="6960"/>
      </w:tblGrid>
      <w:tr>
        <w:trPr>
          <w:cantSplit w:val="1"/>
          <w:tblHeader w:val="true"/>
        </w:trPr>
        <w:tc>
          <w:tcPr>
            <w:tcW w:type="dxa" w:w="24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Status</w:t>
            </w:r>
          </w:p>
        </w:tc>
        <w:tc>
          <w:tcPr>
            <w:tcW w:type="dxa" w:w="69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Bedeutung und erlaubter Übergang</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Entwurf</w:t>
            </w:r>
          </w:p>
        </w:tc>
        <w:tc>
          <w:tcPr>
            <w:tcW w:type="dxa" w:w="6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Auftrag und erste Geometrie; unvollständig. Übergang zu 'In Planung'.</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In Planung</w:t>
            </w:r>
          </w:p>
        </w:tc>
        <w:tc>
          <w:tcPr>
            <w:tcW w:type="dxa" w:w="6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Crew, Ressourcen, Verfahren, Evidenzen und Bedingungen werden bearbeitet.</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In Prüfung</w:t>
            </w:r>
          </w:p>
        </w:tc>
        <w:tc>
          <w:tcPr>
            <w:tcW w:type="dxa" w:w="6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Planversion ist eingefroren; Regelprüfung und gegebenenfalls Vier-Augen-Prüfung laufen.</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Freigegeben</w:t>
            </w:r>
          </w:p>
        </w:tc>
        <w:tc>
          <w:tcPr>
            <w:tcW w:type="dxa" w:w="6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Interne Entscheidung für eine konkrete Planversion und ein Gültigkeitsfenster; noch keine behördliche Freigabe.</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Einsatzbereit</w:t>
            </w:r>
          </w:p>
        </w:tc>
        <w:tc>
          <w:tcPr>
            <w:tcW w:type="dxa" w:w="6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Unmittelbare Vorstartprüfung mit aktuellem Wetter, Luftraum, Technik, Crew und Checklisten bestanden.</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Aktiv</w:t>
            </w:r>
          </w:p>
        </w:tc>
        <w:tc>
          <w:tcPr>
            <w:tcW w:type="dxa" w:w="6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Einsatz läuft; Livekanäle und aktuelle Abweichungen sind sichtbar.</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Pausiert</w:t>
            </w:r>
          </w:p>
        </w:tc>
        <w:tc>
          <w:tcPr>
            <w:tcW w:type="dxa" w:w="6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Betrieb vorübergehend unterbrochen; Wiederaufnahme benötigt definierte Wiederholungsprüfungen.</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Abgebrochen</w:t>
            </w:r>
          </w:p>
        </w:tc>
        <w:tc>
          <w:tcPr>
            <w:tcW w:type="dxa" w:w="6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Sicherheits- oder Organisationsentscheidung mit Grund, Zeitpunkt und Folgemaßnahmen.</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Beendet</w:t>
            </w:r>
          </w:p>
        </w:tc>
        <w:tc>
          <w:tcPr>
            <w:tcW w:type="dxa" w:w="6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Flugbetrieb beendet; Plan-Ist-Abgleich, Logs und Nachflugprüfung offen.</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Geschlossen</w:t>
            </w:r>
          </w:p>
        </w:tc>
        <w:tc>
          <w:tcPr>
            <w:tcW w:type="dxa" w:w="6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Flüge, Abweichungen, technische Folgen und Bericht fachlich abgeschlossen.</w:t>
            </w:r>
          </w:p>
        </w:tc>
      </w:tr>
    </w:tbl>
    <w:p>
      <w:pPr>
        <w:spacing w:after="40"/>
      </w:pPr>
    </w:p>
    <w:p>
      <w:pPr>
        <w:pStyle w:val="Heading2"/>
      </w:pPr>
      <w:r>
        <w:t>11.5 Wirkung von Änderungen</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2700"/>
        <w:gridCol w:w="6660"/>
      </w:tblGrid>
      <w:tr>
        <w:trPr>
          <w:cantSplit w:val="1"/>
          <w:tblHeader w:val="true"/>
        </w:trPr>
        <w:tc>
          <w:tcPr>
            <w:tcW w:type="dxa" w:w="27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Änderung</w:t>
            </w:r>
          </w:p>
        </w:tc>
        <w:tc>
          <w:tcPr>
            <w:tcW w:type="dxa" w:w="66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Systemreaktion</w:t>
            </w:r>
          </w:p>
        </w:tc>
      </w:tr>
      <w:tr>
        <w:trPr>
          <w:cantSplit w:val="1"/>
        </w:trPr>
        <w:tc>
          <w:tcPr>
            <w:tcW w:type="dxa" w:w="2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Datum/Zeit oder Einsatzgebiet</w:t>
            </w:r>
          </w:p>
        </w:tc>
        <w:tc>
          <w:tcPr>
            <w:tcW w:type="dxa" w:w="66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Geo-Zonen-, Luftraum-, Wetter- und Genehmigungsnachweise neu prüfen; Freigabe verliert Gültigkeit.</w:t>
            </w:r>
          </w:p>
        </w:tc>
      </w:tr>
      <w:tr>
        <w:trPr>
          <w:cantSplit w:val="1"/>
        </w:trPr>
        <w:tc>
          <w:tcPr>
            <w:tcW w:type="dxa" w:w="2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Pilot/Crew</w:t>
            </w:r>
          </w:p>
        </w:tc>
        <w:tc>
          <w:tcPr>
            <w:tcW w:type="dxa" w:w="66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Qualifikationen, Verfügbarkeit, Briefing und Rollen erneut prüfen.</w:t>
            </w:r>
          </w:p>
        </w:tc>
      </w:tr>
      <w:tr>
        <w:trPr>
          <w:cantSplit w:val="1"/>
        </w:trPr>
        <w:tc>
          <w:tcPr>
            <w:tcW w:type="dxa" w:w="2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UAS/Nutzlast/Batterie</w:t>
            </w:r>
          </w:p>
        </w:tc>
        <w:tc>
          <w:tcPr>
            <w:tcW w:type="dxa" w:w="66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Kompatibilität, Versicherung, Wartung, Zähler und Sperrstatus erneut prüfen.</w:t>
            </w:r>
          </w:p>
        </w:tc>
      </w:tr>
      <w:tr>
        <w:trPr>
          <w:cantSplit w:val="1"/>
        </w:trPr>
        <w:tc>
          <w:tcPr>
            <w:tcW w:type="dxa" w:w="2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Kategorie/Genehmigung/ConOps</w:t>
            </w:r>
          </w:p>
        </w:tc>
        <w:tc>
          <w:tcPr>
            <w:tcW w:type="dxa" w:w="66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Gesamte Pflicht- und Risikoprüfung mit neuer Rechtsgrundlage ausführen.</w:t>
            </w:r>
          </w:p>
        </w:tc>
      </w:tr>
      <w:tr>
        <w:trPr>
          <w:cantSplit w:val="1"/>
        </w:trPr>
        <w:tc>
          <w:tcPr>
            <w:tcW w:type="dxa" w:w="2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Nur interne Notiz ohne Sicherheitsbezug</w:t>
            </w:r>
          </w:p>
        </w:tc>
        <w:tc>
          <w:tcPr>
            <w:tcW w:type="dxa" w:w="66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Revision speichern; Freigabe bleibt bestehen, sofern Regelpaket dies ausdrücklich erlaubt.</w:t>
            </w:r>
          </w:p>
        </w:tc>
      </w:tr>
    </w:tbl>
    <w:p>
      <w:pPr>
        <w:spacing w:after="40"/>
      </w:pPr>
    </w:p>
    <w:p>
      <w:pPr>
        <w:pStyle w:val="Heading1"/>
      </w:pPr>
      <w:r>
        <w:t>12. Importkonzept</w:t>
      </w:r>
    </w:p>
    <w:p>
      <w:pPr>
        <w:pStyle w:val="Heading2"/>
      </w:pPr>
      <w:r>
        <w:t>12.1 Importpipeline</w:t>
      </w:r>
    </w:p>
    <w:p>
      <w:pPr>
        <w:spacing w:after="80" w:line="300" w:lineRule="auto"/>
        <w:numPr>
          <w:ilvl w:val="0"/>
          <w:numId w:val="11"/>
        </w:numPr>
      </w:pPr>
      <w:r>
        <w:rPr>
          <w:rFonts w:ascii="Calibri" w:hAnsi="Calibri" w:eastAsia="Calibri"/>
          <w:color w:val="1F2937"/>
        </w:rPr>
        <w:t>Upload in Quarantäne; Dateigröße, MIME-Typ, Archivstruktur und Schadsoftware prüfen.</w:t>
      </w:r>
    </w:p>
    <w:p>
      <w:pPr>
        <w:spacing w:after="80" w:line="300" w:lineRule="auto"/>
        <w:numPr>
          <w:ilvl w:val="0"/>
          <w:numId w:val="11"/>
        </w:numPr>
      </w:pPr>
      <w:r>
        <w:rPr>
          <w:rFonts w:ascii="Calibri" w:hAnsi="Calibri" w:eastAsia="Calibri"/>
          <w:color w:val="1F2937"/>
        </w:rPr>
        <w:t>SHA-256 bilden und gegen vorhandene Rohimporte prüfen.</w:t>
      </w:r>
    </w:p>
    <w:p>
      <w:pPr>
        <w:spacing w:after="80" w:line="300" w:lineRule="auto"/>
        <w:numPr>
          <w:ilvl w:val="0"/>
          <w:numId w:val="11"/>
        </w:numPr>
      </w:pPr>
      <w:r>
        <w:rPr>
          <w:rFonts w:ascii="Calibri" w:hAnsi="Calibri" w:eastAsia="Calibri"/>
          <w:color w:val="1F2937"/>
        </w:rPr>
        <w:t>Hersteller, App, Format und Version erkennen; passenden Adapter auswählen.</w:t>
      </w:r>
    </w:p>
    <w:p>
      <w:pPr>
        <w:spacing w:after="80" w:line="300" w:lineRule="auto"/>
        <w:numPr>
          <w:ilvl w:val="0"/>
          <w:numId w:val="11"/>
        </w:numPr>
      </w:pPr>
      <w:r>
        <w:rPr>
          <w:rFonts w:ascii="Calibri" w:hAnsi="Calibri" w:eastAsia="Calibri"/>
          <w:color w:val="1F2937"/>
        </w:rPr>
        <w:t>Rohdaten in ein herstellerneutrales Zwischenschema parsen.</w:t>
      </w:r>
    </w:p>
    <w:p>
      <w:pPr>
        <w:spacing w:after="80" w:line="300" w:lineRule="auto"/>
        <w:numPr>
          <w:ilvl w:val="0"/>
          <w:numId w:val="11"/>
        </w:numPr>
      </w:pPr>
      <w:r>
        <w:rPr>
          <w:rFonts w:ascii="Calibri" w:hAnsi="Calibri" w:eastAsia="Calibri"/>
          <w:color w:val="1F2937"/>
        </w:rPr>
        <w:t>Einheiten, Zeitstempel und Koordinaten normalisieren, ohne unbekannte Referenzen zu erraten.</w:t>
      </w:r>
    </w:p>
    <w:p>
      <w:pPr>
        <w:spacing w:after="80" w:line="300" w:lineRule="auto"/>
        <w:numPr>
          <w:ilvl w:val="0"/>
          <w:numId w:val="11"/>
        </w:numPr>
      </w:pPr>
      <w:r>
        <w:rPr>
          <w:rFonts w:ascii="Calibri" w:hAnsi="Calibri" w:eastAsia="Calibri"/>
          <w:color w:val="1F2937"/>
        </w:rPr>
        <w:t>UAS, Pilot, Batterie und vorhandenen Flug über eindeutige Merkmale zuordnen.</w:t>
      </w:r>
    </w:p>
    <w:p>
      <w:pPr>
        <w:spacing w:after="80" w:line="300" w:lineRule="auto"/>
        <w:numPr>
          <w:ilvl w:val="0"/>
          <w:numId w:val="11"/>
        </w:numPr>
      </w:pPr>
      <w:r>
        <w:rPr>
          <w:rFonts w:ascii="Calibri" w:hAnsi="Calibri" w:eastAsia="Calibri"/>
          <w:color w:val="1F2937"/>
        </w:rPr>
        <w:t>Duplikat- und Plausibilitätsprüfung durchführen.</w:t>
      </w:r>
    </w:p>
    <w:p>
      <w:pPr>
        <w:spacing w:after="80" w:line="300" w:lineRule="auto"/>
        <w:numPr>
          <w:ilvl w:val="0"/>
          <w:numId w:val="11"/>
        </w:numPr>
      </w:pPr>
      <w:r>
        <w:rPr>
          <w:rFonts w:ascii="Calibri" w:hAnsi="Calibri" w:eastAsia="Calibri"/>
          <w:color w:val="1F2937"/>
        </w:rPr>
        <w:t>Importvorschau mit Warnungen und Feldherkunft anzeigen.</w:t>
      </w:r>
    </w:p>
    <w:p>
      <w:pPr>
        <w:spacing w:after="80" w:line="300" w:lineRule="auto"/>
        <w:numPr>
          <w:ilvl w:val="0"/>
          <w:numId w:val="11"/>
        </w:numPr>
      </w:pPr>
      <w:r>
        <w:rPr>
          <w:rFonts w:ascii="Calibri" w:hAnsi="Calibri" w:eastAsia="Calibri"/>
          <w:color w:val="1F2937"/>
        </w:rPr>
        <w:t>Ausgewählte Flüge transaktional übernehmen; Fehler einzelner Flüge isolieren.</w:t>
      </w:r>
    </w:p>
    <w:p>
      <w:pPr>
        <w:spacing w:after="80" w:line="300" w:lineRule="auto"/>
        <w:numPr>
          <w:ilvl w:val="0"/>
          <w:numId w:val="11"/>
        </w:numPr>
      </w:pPr>
      <w:r>
        <w:rPr>
          <w:rFonts w:ascii="Calibri" w:hAnsi="Calibri" w:eastAsia="Calibri"/>
          <w:color w:val="1F2937"/>
        </w:rPr>
        <w:t>Fachliche Prüfung und Ergänzung; erst danach Abschluss.</w:t>
      </w:r>
    </w:p>
    <w:p>
      <w:pPr>
        <w:pStyle w:val="Heading2"/>
      </w:pPr>
      <w:r>
        <w:t>12.2 Unterstützungsstrategie</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2000"/>
        <w:gridCol w:w="2700"/>
        <w:gridCol w:w="1300"/>
        <w:gridCol w:w="3360"/>
      </w:tblGrid>
      <w:tr>
        <w:trPr>
          <w:cantSplit w:val="1"/>
          <w:tblHeader w:val="true"/>
        </w:trPr>
        <w:tc>
          <w:tcPr>
            <w:tcW w:type="dxa" w:w="20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Quelle</w:t>
            </w:r>
          </w:p>
        </w:tc>
        <w:tc>
          <w:tcPr>
            <w:tcW w:type="dxa" w:w="27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Format/Route</w:t>
            </w:r>
          </w:p>
        </w:tc>
        <w:tc>
          <w:tcPr>
            <w:tcW w:type="dxa" w:w="1300"/>
            <w:tcMar>
              <w:top w:w="80" w:type="dxa"/>
              <w:start w:w="120" w:type="dxa"/>
              <w:bottom w:w="80" w:type="dxa"/>
              <w:end w:w="120" w:type="dxa"/>
            </w:tcMar>
            <w:vAlign w:val="center"/>
            <w:shd w:fill="E8EEF5"/>
          </w:tcPr>
          <w:p>
            <w:pPr>
              <w:spacing w:after="0"/>
              <w:jc w:val="center"/>
            </w:pPr>
            <w:r>
              <w:rPr>
                <w:rFonts w:ascii="Calibri" w:hAnsi="Calibri" w:eastAsia="Calibri"/>
                <w:b/>
                <w:color w:val="17365D"/>
                <w:sz w:val="18"/>
              </w:rPr>
              <w:t>Priorität</w:t>
            </w:r>
          </w:p>
        </w:tc>
        <w:tc>
          <w:tcPr>
            <w:tcW w:type="dxa" w:w="33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Umsetzungsbedingung</w:t>
            </w:r>
          </w:p>
        </w:tc>
      </w:tr>
      <w:tr>
        <w:trPr>
          <w:cantSplit w:val="1"/>
        </w:trPr>
        <w:tc>
          <w:tcPr>
            <w:tcW w:type="dxa" w:w="20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DJI Fly / GO 4</w:t>
            </w:r>
          </w:p>
        </w:tc>
        <w:tc>
          <w:tcPr>
            <w:tcW w:type="dxa" w:w="2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FlightRecord-Ordner ZIP bzw. unterstützte Einzeldateien</w:t>
            </w:r>
          </w:p>
        </w:tc>
        <w:tc>
          <w:tcPr>
            <w:tcW w:type="dxa" w:w="1300"/>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V1 Muss</w:t>
            </w:r>
          </w:p>
        </w:tc>
        <w:tc>
          <w:tcPr>
            <w:tcW w:type="dxa" w:w="33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Versionierte Parser; DJI-Lizenzbedingungen oder rechtlich freigegebene Implementierung beachten.</w:t>
            </w:r>
          </w:p>
        </w:tc>
      </w:tr>
      <w:tr>
        <w:trPr>
          <w:cantSplit w:val="1"/>
        </w:trPr>
        <w:tc>
          <w:tcPr>
            <w:tcW w:type="dxa" w:w="20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DJI Pilot 2</w:t>
            </w:r>
          </w:p>
        </w:tc>
        <w:tc>
          <w:tcPr>
            <w:tcW w:type="dxa" w:w="2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Exportierter FlightRecord-Ordner</w:t>
            </w:r>
          </w:p>
        </w:tc>
        <w:tc>
          <w:tcPr>
            <w:tcW w:type="dxa" w:w="1300"/>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V1 Muss</w:t>
            </w:r>
          </w:p>
        </w:tc>
        <w:tc>
          <w:tcPr>
            <w:tcW w:type="dxa" w:w="33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Testmatrix mit Enterprise-Geräten und realen Beispieldateien.</w:t>
            </w:r>
          </w:p>
        </w:tc>
      </w:tr>
      <w:tr>
        <w:trPr>
          <w:cantSplit w:val="1"/>
        </w:trPr>
        <w:tc>
          <w:tcPr>
            <w:tcW w:type="dxa" w:w="20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DJI FlightHub 2</w:t>
            </w:r>
          </w:p>
        </w:tc>
        <w:tc>
          <w:tcPr>
            <w:tcW w:type="dxa" w:w="2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Zusammenfassender/umfassender Export</w:t>
            </w:r>
          </w:p>
        </w:tc>
        <w:tc>
          <w:tcPr>
            <w:tcW w:type="dxa" w:w="1300"/>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V1 Soll</w:t>
            </w:r>
          </w:p>
        </w:tc>
        <w:tc>
          <w:tcPr>
            <w:tcW w:type="dxa" w:w="33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Stabiles Exportformat; kein Zwang zu DJI-Cloud-Anmeldedaten im System.</w:t>
            </w:r>
          </w:p>
        </w:tc>
      </w:tr>
      <w:tr>
        <w:trPr>
          <w:cantSplit w:val="1"/>
        </w:trPr>
        <w:tc>
          <w:tcPr>
            <w:tcW w:type="dxa" w:w="20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Generic</w:t>
            </w:r>
          </w:p>
        </w:tc>
        <w:tc>
          <w:tcPr>
            <w:tcW w:type="dxa" w:w="2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CSV/JSON plus Mappingvorlagen</w:t>
            </w:r>
          </w:p>
        </w:tc>
        <w:tc>
          <w:tcPr>
            <w:tcW w:type="dxa" w:w="1300"/>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V1 Muss</w:t>
            </w:r>
          </w:p>
        </w:tc>
        <w:tc>
          <w:tcPr>
            <w:tcW w:type="dxa" w:w="33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Dokumentiertes neutrales Schema und Validierung.</w:t>
            </w:r>
          </w:p>
        </w:tc>
      </w:tr>
      <w:tr>
        <w:trPr>
          <w:cantSplit w:val="1"/>
        </w:trPr>
        <w:tc>
          <w:tcPr>
            <w:tcW w:type="dxa" w:w="20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Weitere Hersteller</w:t>
            </w:r>
          </w:p>
        </w:tc>
        <w:tc>
          <w:tcPr>
            <w:tcW w:type="dxa" w:w="2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Bestätigter Datei-/API-Export</w:t>
            </w:r>
          </w:p>
        </w:tc>
        <w:tc>
          <w:tcPr>
            <w:tcW w:type="dxa" w:w="1300"/>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V1.1 Soll</w:t>
            </w:r>
          </w:p>
        </w:tc>
        <w:tc>
          <w:tcPr>
            <w:tcW w:type="dxa" w:w="33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Autel, Parrot, Skydio oder andere erst nach Samples, Lizenz- und Versionsprüfung freigeben.</w:t>
            </w:r>
          </w:p>
        </w:tc>
      </w:tr>
      <w:tr>
        <w:trPr>
          <w:cantSplit w:val="1"/>
        </w:trPr>
        <w:tc>
          <w:tcPr>
            <w:tcW w:type="dxa" w:w="20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Open UAS</w:t>
            </w:r>
          </w:p>
        </w:tc>
        <w:tc>
          <w:tcPr>
            <w:tcW w:type="dxa" w:w="2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GPX/KML, PX4 ULog, ArduPilot DataFlash/TLOG</w:t>
            </w:r>
          </w:p>
        </w:tc>
        <w:tc>
          <w:tcPr>
            <w:tcW w:type="dxa" w:w="1300"/>
            <w:tcMar>
              <w:top w:w="80" w:type="dxa"/>
              <w:start w:w="120" w:type="dxa"/>
              <w:bottom w:w="80" w:type="dxa"/>
              <w:end w:w="120" w:type="dxa"/>
            </w:tcMar>
            <w:vAlign w:val="center"/>
          </w:tcPr>
          <w:p>
            <w:pPr>
              <w:spacing w:after="0" w:line="240" w:lineRule="auto"/>
              <w:jc w:val="center"/>
            </w:pPr>
            <w:r>
              <w:rPr>
                <w:rFonts w:ascii="Calibri" w:hAnsi="Calibri" w:eastAsia="Calibri"/>
                <w:b w:val="0"/>
                <w:color w:val="1F2937"/>
                <w:sz w:val="17"/>
              </w:rPr>
              <w:t>V1.1 Soll</w:t>
            </w:r>
          </w:p>
        </w:tc>
        <w:tc>
          <w:tcPr>
            <w:tcW w:type="dxa" w:w="33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Telemetrievolumen, Parser-Sandbox und eindeutige Zeit-/Höhenreferenz berücksichtigen.</w:t>
            </w:r>
          </w:p>
        </w:tc>
      </w:tr>
    </w:tbl>
    <w:p>
      <w:pPr>
        <w:spacing w:after="40"/>
      </w:pPr>
    </w:p>
    <w:p>
      <w:pPr>
        <w:pStyle w:val="Heading2"/>
      </w:pPr>
      <w:r>
        <w:t>12.3 DJI-spezifische Vorgaben</w:t>
      </w:r>
    </w:p>
    <w:p>
      <w:pPr>
        <w:spacing w:after="80" w:line="300" w:lineRule="auto"/>
        <w:numPr>
          <w:ilvl w:val="0"/>
          <w:numId w:val="10"/>
        </w:numPr>
      </w:pPr>
      <w:r>
        <w:rPr>
          <w:rFonts w:ascii="Calibri" w:hAnsi="Calibri" w:eastAsia="Calibri"/>
          <w:color w:val="1F2937"/>
        </w:rPr>
        <w:t>Unterstützte App-/Logversionen werden in einer öffentlich sichtbaren Kompatibilitätsmatrix geführt.</w:t>
      </w:r>
    </w:p>
    <w:p>
      <w:pPr>
        <w:spacing w:after="80" w:line="300" w:lineRule="auto"/>
        <w:numPr>
          <w:ilvl w:val="0"/>
          <w:numId w:val="10"/>
        </w:numPr>
      </w:pPr>
      <w:r>
        <w:rPr>
          <w:rFonts w:ascii="Calibri" w:hAnsi="Calibri" w:eastAsia="Calibri"/>
          <w:color w:val="1F2937"/>
        </w:rPr>
        <w:t>Proprietäre oder verschlüsselte DJI-Formate werden nicht durch unsichere Heuristik 'erraten'. Wenn der Parser eine Version nicht kennt, bleibt die Datei im Rohimport und der Nutzer erhält eine klare Meldung.</w:t>
      </w:r>
    </w:p>
    <w:p>
      <w:pPr>
        <w:spacing w:after="80" w:line="300" w:lineRule="auto"/>
        <w:numPr>
          <w:ilvl w:val="0"/>
          <w:numId w:val="10"/>
        </w:numPr>
      </w:pPr>
      <w:r>
        <w:rPr>
          <w:rFonts w:ascii="Calibri" w:hAnsi="Calibri" w:eastAsia="Calibri"/>
          <w:color w:val="1F2937"/>
        </w:rPr>
        <w:t>DJI-Seriennummer, Hersteller-Flug-ID, Startzeit und Dauer werden zur Zuordnung verwendet; keines dieser Merkmale allein gilt als absolut zuverlässig.</w:t>
      </w:r>
    </w:p>
    <w:p>
      <w:pPr>
        <w:spacing w:after="80" w:line="300" w:lineRule="auto"/>
        <w:numPr>
          <w:ilvl w:val="0"/>
          <w:numId w:val="10"/>
        </w:numPr>
      </w:pPr>
      <w:r>
        <w:rPr>
          <w:rFonts w:ascii="Calibri" w:hAnsi="Calibri" w:eastAsia="Calibri"/>
          <w:color w:val="1F2937"/>
        </w:rPr>
        <w:t>Die DJI-Cloud ist keine einzige Datenquelle. Lokaler Export muss als datenschutzfreundliche Standardroute funktionieren.</w:t>
      </w:r>
    </w:p>
    <w:p>
      <w:pPr>
        <w:spacing w:after="80" w:line="300" w:lineRule="auto"/>
        <w:numPr>
          <w:ilvl w:val="0"/>
          <w:numId w:val="10"/>
        </w:numPr>
      </w:pPr>
      <w:r>
        <w:rPr>
          <w:rFonts w:ascii="Calibri" w:hAnsi="Calibri" w:eastAsia="Calibri"/>
          <w:color w:val="1F2937"/>
        </w:rPr>
        <w:t>Änderungen an DJI-Formaten werden über neue Adapterversionen eingeführt; bestehende Importe werden nicht rückwirkend still verändert.</w:t>
      </w:r>
    </w:p>
    <w:p>
      <w:pPr>
        <w:spacing w:after="80" w:line="300" w:lineRule="auto"/>
        <w:numPr>
          <w:ilvl w:val="0"/>
          <w:numId w:val="10"/>
        </w:numPr>
      </w:pPr>
      <w:r>
        <w:rPr>
          <w:rFonts w:ascii="Calibri" w:hAnsi="Calibri" w:eastAsia="Calibri"/>
          <w:color w:val="1F2937"/>
        </w:rPr>
        <w:t>DJI Mobile SDK 5 stellt lokale Fluglogpfade und eine LiveStreamManager-Schnittstelle für unterstützte Geräte bereit; Cloud API/Pilot 2 unterstützt je Produkt unter anderem RTMP und RTSP. Die konkrete Geräte-/App-Matrix wird getestet und versioniert.</w:t>
      </w:r>
    </w:p>
    <w:p>
      <w:pPr>
        <w:spacing w:after="80" w:line="300" w:lineRule="auto"/>
        <w:numPr>
          <w:ilvl w:val="0"/>
          <w:numId w:val="10"/>
        </w:numPr>
      </w:pPr>
      <w:r>
        <w:rPr>
          <w:rFonts w:ascii="Calibri" w:hAnsi="Calibri" w:eastAsia="Calibri"/>
          <w:color w:val="1F2937"/>
        </w:rPr>
        <w:t>DJI Parsing API, Cloud API und SDKs sind proprietäre optionale Abhängigkeiten. Ihre Nutzungsbedingungen dürfen nicht mit der Open-Source-Lizenz des Kerns vermischt oder als garantiert dauerhaft verfügbar dargestellt werden.</w:t>
      </w:r>
    </w:p>
    <w:p>
      <w:pPr>
        <w:pStyle w:val="Heading1"/>
      </w:pPr>
      <w:r>
        <w:t>13. Compliance-Regelwerk</w:t>
      </w:r>
    </w:p>
    <w:p>
      <w:pPr>
        <w:pStyle w:val="Heading2"/>
      </w:pPr>
      <w:r>
        <w:t>13.1 Regelpakete</w:t>
      </w:r>
    </w:p>
    <w:p>
      <w:r>
        <w:rPr>
          <w:rFonts w:ascii="Calibri" w:hAnsi="Calibri" w:eastAsia="Calibri"/>
          <w:color w:val="1F2937"/>
        </w:rPr>
        <w:t>Regelpakete werden als signierte, versionierte Konfiguration ausgeliefert. Eine Regel enthält mindestens Jurisdiktion, Gültig-ab/Gültig-bis, Rechtsquelle, betroffene Kategorie, Prüfbedingung, Schweregrad, Meldetext und empfohlene Maßnahme. Betreiber können ergänzende interne Regeln hinzufügen, ohne die gesetzliche Quelle zu überschreiben.</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2100"/>
        <w:gridCol w:w="2700"/>
        <w:gridCol w:w="4560"/>
      </w:tblGrid>
      <w:tr>
        <w:trPr>
          <w:cantSplit w:val="1"/>
          <w:tblHeader w:val="true"/>
        </w:trPr>
        <w:tc>
          <w:tcPr>
            <w:tcW w:type="dxa" w:w="21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Pflichtstufe</w:t>
            </w:r>
          </w:p>
        </w:tc>
        <w:tc>
          <w:tcPr>
            <w:tcW w:type="dxa" w:w="27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Darstellung</w:t>
            </w:r>
          </w:p>
        </w:tc>
        <w:tc>
          <w:tcPr>
            <w:tcW w:type="dxa" w:w="45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Systemverhalten</w:t>
            </w:r>
          </w:p>
        </w:tc>
      </w:tr>
      <w:tr>
        <w:trPr>
          <w:cantSplit w:val="1"/>
        </w:trPr>
        <w:tc>
          <w:tcPr>
            <w:tcW w:type="dxa" w:w="21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Gesetzlich</w:t>
            </w:r>
          </w:p>
        </w:tc>
        <w:tc>
          <w:tcPr>
            <w:tcW w:type="dxa" w:w="2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Rot / Rechtsquelle</w:t>
            </w:r>
          </w:p>
        </w:tc>
        <w:tc>
          <w:tcPr>
            <w:tcW w:type="dxa" w:w="45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Vollständigkeitsfehler oder Abweichung; Aufbewahrungssperre möglich.</w:t>
            </w:r>
          </w:p>
        </w:tc>
      </w:tr>
      <w:tr>
        <w:trPr>
          <w:cantSplit w:val="1"/>
        </w:trPr>
        <w:tc>
          <w:tcPr>
            <w:tcW w:type="dxa" w:w="21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Genehmigungsbedingt</w:t>
            </w:r>
          </w:p>
        </w:tc>
        <w:tc>
          <w:tcPr>
            <w:tcW w:type="dxa" w:w="2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Rot / Genehmigungsreferenz</w:t>
            </w:r>
          </w:p>
        </w:tc>
        <w:tc>
          <w:tcPr>
            <w:tcW w:type="dxa" w:w="45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Regel aus konkreter Erklärung/Genehmigung.</w:t>
            </w:r>
          </w:p>
        </w:tc>
      </w:tr>
      <w:tr>
        <w:trPr>
          <w:cantSplit w:val="1"/>
        </w:trPr>
        <w:tc>
          <w:tcPr>
            <w:tcW w:type="dxa" w:w="21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Interne Pflicht</w:t>
            </w:r>
          </w:p>
        </w:tc>
        <w:tc>
          <w:tcPr>
            <w:tcW w:type="dxa" w:w="2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Orange / Verfahrens-ID</w:t>
            </w:r>
          </w:p>
        </w:tc>
        <w:tc>
          <w:tcPr>
            <w:tcW w:type="dxa" w:w="45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Organisation kann Abschluss/Freigabe blockieren.</w:t>
            </w:r>
          </w:p>
        </w:tc>
      </w:tr>
      <w:tr>
        <w:trPr>
          <w:cantSplit w:val="1"/>
        </w:trPr>
        <w:tc>
          <w:tcPr>
            <w:tcW w:type="dxa" w:w="21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Empfohlen</w:t>
            </w:r>
          </w:p>
        </w:tc>
        <w:tc>
          <w:tcPr>
            <w:tcW w:type="dxa" w:w="2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Blau / Begründung</w:t>
            </w:r>
          </w:p>
        </w:tc>
        <w:tc>
          <w:tcPr>
            <w:tcW w:type="dxa" w:w="45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Hinweis; keine falsche Pflichtbehauptung.</w:t>
            </w:r>
          </w:p>
        </w:tc>
      </w:tr>
      <w:tr>
        <w:trPr>
          <w:cantSplit w:val="1"/>
        </w:trPr>
        <w:tc>
          <w:tcPr>
            <w:tcW w:type="dxa" w:w="21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Nicht anwendbar</w:t>
            </w:r>
          </w:p>
        </w:tc>
        <w:tc>
          <w:tcPr>
            <w:tcW w:type="dxa" w:w="2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Grau</w:t>
            </w:r>
          </w:p>
        </w:tc>
        <w:tc>
          <w:tcPr>
            <w:tcW w:type="dxa" w:w="45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Feld wird ausgeblendet oder als nicht relevant erklärt.</w:t>
            </w:r>
          </w:p>
        </w:tc>
      </w:tr>
    </w:tbl>
    <w:p>
      <w:pPr>
        <w:spacing w:after="40"/>
      </w:pPr>
    </w:p>
    <w:p>
      <w:pPr>
        <w:pStyle w:val="Heading2"/>
      </w:pPr>
      <w:r>
        <w:t>13.2 Kategorienassistent</w:t>
      </w:r>
    </w:p>
    <w:p>
      <w:r>
        <w:rPr>
          <w:rFonts w:ascii="Calibri" w:hAnsi="Calibri" w:eastAsia="Calibri"/>
          <w:color w:val="1F2937"/>
        </w:rPr>
        <w:t>Der Assistent verarbeitet Datum, Land, UAS-Klasse, MTOM, Höhen-/Abstandsangaben, VLOS/BVLOS, Personenumgebung, Flugzweck und vorhandene Genehmigungen. Das Ergebnis ist ein begründeter Vorschlag mit Alternativen und offenen Fragen. Die finale Auswahl bestätigt ein verantwortlicher Nutzer; automatisierte Bewertung und menschliche Entscheidung werden getrennt gespeichert.</w:t>
      </w:r>
    </w:p>
    <w:p>
      <w:pPr>
        <w:spacing w:before="120" w:after="200" w:line="264" w:lineRule="auto"/>
        <w:ind w:left="173" w:right="115"/>
        <w:shd w:fill="FFF4D6"/>
        <w:pBdr>
          <w:left w:val="single" w:sz="18" w:space="8" w:color="9A6700"/>
        </w:pBdr>
      </w:pPr>
      <w:r>
        <w:rPr>
          <w:rFonts w:ascii="Calibri" w:hAnsi="Calibri" w:eastAsia="Calibri"/>
          <w:b/>
          <w:color w:val="9A6700"/>
        </w:rPr>
        <w:t xml:space="preserve">Keine Rechtsfreigabe: </w:t>
      </w:r>
      <w:r>
        <w:rPr>
          <w:rFonts w:ascii="Calibri" w:hAnsi="Calibri" w:eastAsia="Calibri"/>
          <w:color w:val="1F2937"/>
        </w:rPr>
        <w:t>Auch bei grüner Anzeige lautet die Aussage nur: 'Die hinterlegten Daten erfüllen die konfigurierten Prüfregeln.' Eine behördliche oder rechtliche Flugfreigabe wird nicht behauptet.</w:t>
      </w:r>
    </w:p>
    <w:p>
      <w:pPr>
        <w:pStyle w:val="Heading1"/>
      </w:pPr>
      <w:r>
        <w:t>14. Umsetzung der Einsatzplanung</w:t>
      </w:r>
    </w:p>
    <w:p>
      <w:pPr>
        <w:pStyle w:val="Heading2"/>
      </w:pPr>
      <w:r>
        <w:t>14.1 Planungsarbeitsplatz</w:t>
      </w:r>
    </w:p>
    <w:p>
      <w:r>
        <w:rPr>
          <w:rFonts w:ascii="Calibri" w:hAnsi="Calibri" w:eastAsia="Calibri"/>
          <w:color w:val="1F2937"/>
        </w:rPr>
        <w:t>Der Planungsarbeitsplatz verbindet Formular, Karte, Zeitachse, Ressourcenbelegung und Prüfpanel. Die Karte basiert auf MapLibre und austauschbaren Quellen. Eigene Geometrien, offizielle oder lizenzierte Geo-Zonen, NOTAM-/AIP-Nachweise, Schutzgebiets- und Infrastrukturhinweise werden als getrennte Ebenen mit Quelle und Aktualität gezeigt. Ein grünes Prüfergebnis bedeutet ausschließlich, dass die gespeicherten Regeln erfüllt sind.</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1700"/>
        <w:gridCol w:w="4860"/>
        <w:gridCol w:w="2800"/>
      </w:tblGrid>
      <w:tr>
        <w:trPr>
          <w:cantSplit w:val="1"/>
          <w:tblHeader w:val="true"/>
        </w:trPr>
        <w:tc>
          <w:tcPr>
            <w:tcW w:type="dxa" w:w="17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Bereich</w:t>
            </w:r>
          </w:p>
        </w:tc>
        <w:tc>
          <w:tcPr>
            <w:tcW w:type="dxa" w:w="48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Technische Festlegung</w:t>
            </w:r>
          </w:p>
        </w:tc>
        <w:tc>
          <w:tcPr>
            <w:tcW w:type="dxa" w:w="28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Nachweis</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Auftrag</w:t>
            </w:r>
          </w:p>
        </w:tc>
        <w:tc>
          <w:tcPr>
            <w:tcW w:type="dxa" w:w="48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Mission mit Kunde/Projekt/Zweck, Verantwortlichem, Zeitfenster, Alternative und Datenschutzklassifizierung.</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Versionierter Auftrag und Änderungsverlauf.</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Geometrie</w:t>
            </w:r>
          </w:p>
        </w:tc>
        <w:tc>
          <w:tcPr>
            <w:tcW w:type="dxa" w:w="48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PostGIS-Geometrien für Punkt, Route, Polygon, Korridor; 3D/4D-Parameter separat und mit Höhenbezug.</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GeoJSON/KML-Export plus Kartenansicht.</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Risiko</w:t>
            </w:r>
          </w:p>
        </w:tc>
        <w:tc>
          <w:tcPr>
            <w:tcW w:type="dxa" w:w="48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Operation-, Contingency- und Ground-Risk-Objekte sowie SORA-/PDRA-/STS-Referenzen.</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Planversion referenziert Risikoevidenz und Verfahren.</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Ressourcen</w:t>
            </w:r>
          </w:p>
        </w:tc>
        <w:tc>
          <w:tcPr>
            <w:tcW w:type="dxa" w:w="48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Zeitintervall-Reservierungen mit exklusiven und überbuchbaren Typen.</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Konfliktliste und nachvollziehbare Übersteuerung.</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Quellen</w:t>
            </w:r>
          </w:p>
        </w:tc>
        <w:tc>
          <w:tcPr>
            <w:tcW w:type="dxa" w:w="48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EvidenceSnapshot speichert URL/Datei, Lizenzhinweis, Abrufzeit, Gültigkeit, Prüfer und SHA-256.</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Prüfbericht reproduziert verwendeten Stand.</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Freigabe</w:t>
            </w:r>
          </w:p>
        </w:tc>
        <w:tc>
          <w:tcPr>
            <w:tcW w:type="dxa" w:w="48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ReleaseDecision bindet Regelpaket, Planrevision, Befunde, Rollen, Zeitfenster und Entscheidung.</w:t>
            </w:r>
          </w:p>
        </w:tc>
        <w:tc>
          <w:tcPr>
            <w:tcW w:type="dxa" w:w="28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Änderungsereignis invalidiert passende Freigabe automatisch.</w:t>
            </w:r>
          </w:p>
        </w:tc>
      </w:tr>
    </w:tbl>
    <w:p>
      <w:pPr>
        <w:spacing w:after="40"/>
      </w:pPr>
    </w:p>
    <w:p>
      <w:pPr>
        <w:pStyle w:val="Heading2"/>
      </w:pPr>
      <w:r>
        <w:t>14.2 Freigabe-Gate</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2000"/>
        <w:gridCol w:w="4460"/>
        <w:gridCol w:w="2900"/>
      </w:tblGrid>
      <w:tr>
        <w:trPr>
          <w:cantSplit w:val="1"/>
          <w:tblHeader w:val="true"/>
        </w:trPr>
        <w:tc>
          <w:tcPr>
            <w:tcW w:type="dxa" w:w="20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Prüfklasse</w:t>
            </w:r>
          </w:p>
        </w:tc>
        <w:tc>
          <w:tcPr>
            <w:tcW w:type="dxa" w:w="44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Beispiele</w:t>
            </w:r>
          </w:p>
        </w:tc>
        <w:tc>
          <w:tcPr>
            <w:tcW w:type="dxa" w:w="29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Verhalten</w:t>
            </w:r>
          </w:p>
        </w:tc>
      </w:tr>
      <w:tr>
        <w:trPr>
          <w:cantSplit w:val="1"/>
        </w:trPr>
        <w:tc>
          <w:tcPr>
            <w:tcW w:type="dxa" w:w="20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Harte Sperre</w:t>
            </w:r>
          </w:p>
        </w:tc>
        <w:tc>
          <w:tcPr>
            <w:tcW w:type="dxa" w:w="44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Gesperrtes UAS, fehlende Pflichtqualifikation, ungültige Genehmigung, fehlende Pflichtcheckliste.</w:t>
            </w:r>
          </w:p>
        </w:tc>
        <w:tc>
          <w:tcPr>
            <w:tcW w:type="dxa" w:w="2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Kein Status 'einsatzbereit'; nur Korrektur der Ursache.</w:t>
            </w:r>
          </w:p>
        </w:tc>
      </w:tr>
      <w:tr>
        <w:trPr>
          <w:cantSplit w:val="1"/>
        </w:trPr>
        <w:tc>
          <w:tcPr>
            <w:tcW w:type="dxa" w:w="20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Übersteuerbare Warnung</w:t>
            </w:r>
          </w:p>
        </w:tc>
        <w:tc>
          <w:tcPr>
            <w:tcW w:type="dxa" w:w="44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Wetter nahe internem Grenzwert, knappe Akku-Reserve, unbestätigte optionale Evidenz.</w:t>
            </w:r>
          </w:p>
        </w:tc>
        <w:tc>
          <w:tcPr>
            <w:tcW w:type="dxa" w:w="2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Berechtigte Rolle darf mit Pflichtgrund und gegebenenfalls Vier-Augen-Freigabe entscheiden.</w:t>
            </w:r>
          </w:p>
        </w:tc>
      </w:tr>
      <w:tr>
        <w:trPr>
          <w:cantSplit w:val="1"/>
        </w:trPr>
        <w:tc>
          <w:tcPr>
            <w:tcW w:type="dxa" w:w="20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Hinweis</w:t>
            </w:r>
          </w:p>
        </w:tc>
        <w:tc>
          <w:tcPr>
            <w:tcW w:type="dxa" w:w="44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Empfehlung oder nicht sicher entscheidbare externe Information.</w:t>
            </w:r>
          </w:p>
        </w:tc>
        <w:tc>
          <w:tcPr>
            <w:tcW w:type="dxa" w:w="2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Beeinflusst Status nicht, bleibt aber im Freigabebericht sichtbar.</w:t>
            </w:r>
          </w:p>
        </w:tc>
      </w:tr>
      <w:tr>
        <w:trPr>
          <w:cantSplit w:val="1"/>
        </w:trPr>
        <w:tc>
          <w:tcPr>
            <w:tcW w:type="dxa" w:w="20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Unbekannt</w:t>
            </w:r>
          </w:p>
        </w:tc>
        <w:tc>
          <w:tcPr>
            <w:tcW w:type="dxa" w:w="44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Quelle ausgefallen, Daten zu alt oder Rechtsregel nicht eindeutig.</w:t>
            </w:r>
          </w:p>
        </w:tc>
        <w:tc>
          <w:tcPr>
            <w:tcW w:type="dxa" w:w="2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Nie automatisch grün; Organisation legt je Regel Warnung oder Sperre fest.</w:t>
            </w:r>
          </w:p>
        </w:tc>
      </w:tr>
    </w:tbl>
    <w:p>
      <w:pPr>
        <w:spacing w:after="40"/>
      </w:pPr>
    </w:p>
    <w:p>
      <w:pPr>
        <w:spacing w:before="120" w:after="200" w:line="264" w:lineRule="auto"/>
        <w:ind w:left="173" w:right="115"/>
        <w:shd w:fill="FFF4D6"/>
        <w:pBdr>
          <w:left w:val="single" w:sz="18" w:space="8" w:color="9A6700"/>
        </w:pBdr>
      </w:pPr>
      <w:r>
        <w:rPr>
          <w:rFonts w:ascii="Calibri" w:hAnsi="Calibri" w:eastAsia="Calibri"/>
          <w:b/>
          <w:color w:val="9A6700"/>
        </w:rPr>
        <w:t xml:space="preserve">Tagesaktuelle Prüfung: </w:t>
      </w:r>
      <w:r>
        <w:rPr>
          <w:rFonts w:ascii="Calibri" w:hAnsi="Calibri" w:eastAsia="Calibri"/>
          <w:color w:val="1F2937"/>
        </w:rPr>
        <w:t>Geo-Zonen, NOTAM/AIP, Wetter, Technikstatus, Crewverfügbarkeit und Genehmigungsgültigkeit werden kurz vor Start erneut bewertet. Kartenmaterial oder externe Dienste dürfen nicht als alleinige Rechtsauskunft dargestellt werden; Quelle, Lizenz und Ausfallzustand bleiben sichtbar.</w:t>
      </w:r>
    </w:p>
    <w:p>
      <w:pPr>
        <w:pStyle w:val="Heading2"/>
      </w:pPr>
      <w:r>
        <w:t>14.3 Plan-Ist-Übernahme</w:t>
      </w:r>
    </w:p>
    <w:p>
      <w:pPr>
        <w:spacing w:after="80" w:line="300" w:lineRule="auto"/>
        <w:numPr>
          <w:ilvl w:val="0"/>
          <w:numId w:val="10"/>
        </w:numPr>
      </w:pPr>
      <w:r>
        <w:rPr>
          <w:rFonts w:ascii="Calibri" w:hAnsi="Calibri" w:eastAsia="Calibri"/>
          <w:color w:val="1F2937"/>
        </w:rPr>
        <w:t>Beim Start wird eine unveränderbare Momentaufnahme der freigegebenen Planrevision erzeugt.</w:t>
      </w:r>
    </w:p>
    <w:p>
      <w:pPr>
        <w:spacing w:after="80" w:line="300" w:lineRule="auto"/>
        <w:numPr>
          <w:ilvl w:val="0"/>
          <w:numId w:val="10"/>
        </w:numPr>
      </w:pPr>
      <w:r>
        <w:rPr>
          <w:rFonts w:ascii="Calibri" w:hAnsi="Calibri" w:eastAsia="Calibri"/>
          <w:color w:val="1F2937"/>
        </w:rPr>
        <w:t>Importierte Flüge werden anhand Zeit, UAS, Pilot und Geometrie einem Einsatz vorgeschlagen, aber erst nach Bestätigung verbunden.</w:t>
      </w:r>
    </w:p>
    <w:p>
      <w:pPr>
        <w:spacing w:after="80" w:line="300" w:lineRule="auto"/>
        <w:numPr>
          <w:ilvl w:val="0"/>
          <w:numId w:val="10"/>
        </w:numPr>
      </w:pPr>
      <w:r>
        <w:rPr>
          <w:rFonts w:ascii="Calibri" w:hAnsi="Calibri" w:eastAsia="Calibri"/>
          <w:color w:val="1F2937"/>
        </w:rPr>
        <w:t>Plan-Ist-Abweichungen bei Route, Gebiet, Zeit, Höhe, Crew, Komponenten oder Verfahren werden bewertet und in den Abschluss übernommen.</w:t>
      </w:r>
    </w:p>
    <w:p>
      <w:pPr>
        <w:spacing w:after="80" w:line="300" w:lineRule="auto"/>
        <w:numPr>
          <w:ilvl w:val="0"/>
          <w:numId w:val="10"/>
        </w:numPr>
      </w:pPr>
      <w:r>
        <w:rPr>
          <w:rFonts w:ascii="Calibri" w:hAnsi="Calibri" w:eastAsia="Calibri"/>
          <w:color w:val="1F2937"/>
        </w:rPr>
        <w:t>Ein technischer Mangel erzeugt Wartungsvorgang und gegebenenfalls Grounding; ein sicherheitsrelevantes Vorkommnis erzeugt eine Ereignisakte.</w:t>
      </w:r>
    </w:p>
    <w:p>
      <w:pPr>
        <w:spacing w:after="80" w:line="300" w:lineRule="auto"/>
        <w:numPr>
          <w:ilvl w:val="0"/>
          <w:numId w:val="10"/>
        </w:numPr>
      </w:pPr>
      <w:r>
        <w:rPr>
          <w:rFonts w:ascii="Calibri" w:hAnsi="Calibri" w:eastAsia="Calibri"/>
          <w:color w:val="1F2937"/>
        </w:rPr>
        <w:t>Der Einsatz kann erst geschlossen werden, wenn Flüge, Checklisten, Abweichungen, Streams, Aufzeichnungen und offene Maßnahmen geklärt sind.</w:t>
      </w:r>
    </w:p>
    <w:p>
      <w:pPr>
        <w:pStyle w:val="Heading1"/>
      </w:pPr>
      <w:r>
        <w:t>15. Umsetzung von Livebild und Streaming</w:t>
      </w:r>
    </w:p>
    <w:p>
      <w:pPr>
        <w:pStyle w:val="Heading2"/>
      </w:pPr>
      <w:r>
        <w:t>15.1 Medienfluss und Protokolle</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1800"/>
        <w:gridCol w:w="4300"/>
        <w:gridCol w:w="3260"/>
      </w:tblGrid>
      <w:tr>
        <w:trPr>
          <w:cantSplit w:val="1"/>
          <w:tblHeader w:val="true"/>
        </w:trPr>
        <w:tc>
          <w:tcPr>
            <w:tcW w:type="dxa" w:w="18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Stufe</w:t>
            </w:r>
          </w:p>
        </w:tc>
        <w:tc>
          <w:tcPr>
            <w:tcW w:type="dxa" w:w="43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Primärweg</w:t>
            </w:r>
          </w:p>
        </w:tc>
        <w:tc>
          <w:tcPr>
            <w:tcW w:type="dxa" w:w="32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Fallback/Bedingung</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Publish</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RTMPS oder RTSPS; SRT bei geeigneten Sendern.</w:t>
            </w:r>
          </w:p>
        </w:tc>
        <w:tc>
          <w:tcPr>
            <w:tcW w:type="dxa" w:w="32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RTMP/RTSP nur in vertrauenswürdigem Tunnel/VPN oder ausdrücklich dokumentierter Ausnahme.</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Medienserver</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MediaMTX mit externem Auth-Hook zu UAS Smart.</w:t>
            </w:r>
          </w:p>
        </w:tc>
        <w:tc>
          <w:tcPr>
            <w:tcW w:type="dxa" w:w="32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Getrenntes Netz/Container, beschränkte Pfade und Bandbreiten.</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Browser</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WebRTC/WHEP-orientierte Wiedergabe mit STUN; coturn bei Bedarf.</w:t>
            </w:r>
          </w:p>
        </w:tc>
        <w:tc>
          <w:tcPr>
            <w:tcW w:type="dxa" w:w="32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HLS mit klarer Latenzanzeige, wenn WebRTC nicht möglich ist.</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Aufzeichnung</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MediaMTX-Segmente in geschütztem Speicher; Metadaten in UAS Smart.</w:t>
            </w:r>
          </w:p>
        </w:tc>
        <w:tc>
          <w:tcPr>
            <w:tcW w:type="dxa" w:w="32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FFmpeg nur für freigegebene Nachbearbeitung, Thumbnail oder Codec-Konvertierung.</w:t>
            </w:r>
          </w:p>
        </w:tc>
      </w:tr>
    </w:tbl>
    <w:p>
      <w:pPr>
        <w:spacing w:after="40"/>
      </w:pPr>
    </w:p>
    <w:p>
      <w:r>
        <w:rPr>
          <w:rFonts w:ascii="Calibri" w:hAnsi="Calibri" w:eastAsia="Calibri"/>
          <w:color w:val="1F2937"/>
        </w:rPr>
        <w:t>Ein Browser spielt RTSP nicht nativ. MediaMTX nimmt den Herstellerstream an und stellt ihn browserfähig als WebRTC beziehungsweise HLS bereit. UAS Smart verwaltet Identität, Berechtigung, Einsatzbezug, Policies und Audit; der Medienserver kennt nur kurzlebige, minimal erforderliche Entscheidungen.</w:t>
      </w:r>
    </w:p>
    <w:p>
      <w:pPr>
        <w:pStyle w:val="Heading2"/>
      </w:pPr>
      <w:r>
        <w:t>15.2 Authentifizierung und Datenschutz</w:t>
      </w:r>
    </w:p>
    <w:p>
      <w:pPr>
        <w:spacing w:after="80" w:line="300" w:lineRule="auto"/>
        <w:numPr>
          <w:ilvl w:val="0"/>
          <w:numId w:val="10"/>
        </w:numPr>
      </w:pPr>
      <w:r>
        <w:rPr>
          <w:rFonts w:ascii="Calibri" w:hAnsi="Calibri" w:eastAsia="Calibri"/>
          <w:color w:val="1F2937"/>
        </w:rPr>
        <w:t>Publish-Pfade enthalten keine lesbaren Kunden-, Piloten- oder Einsatznamen; Schlüssel werden gehasht gespeichert und rotierbar ausgegeben.</w:t>
      </w:r>
    </w:p>
    <w:p>
      <w:pPr>
        <w:spacing w:after="80" w:line="300" w:lineRule="auto"/>
        <w:numPr>
          <w:ilvl w:val="0"/>
          <w:numId w:val="10"/>
        </w:numPr>
      </w:pPr>
      <w:r>
        <w:rPr>
          <w:rFonts w:ascii="Calibri" w:hAnsi="Calibri" w:eastAsia="Calibri"/>
          <w:color w:val="1F2937"/>
        </w:rPr>
        <w:t>MediaMTX fragt UAS Smart bei Publish und Read über einen internen Auth-Hook; direkte öffentliche Pfade ohne Entscheidung sind verboten.</w:t>
      </w:r>
    </w:p>
    <w:p>
      <w:pPr>
        <w:spacing w:after="80" w:line="300" w:lineRule="auto"/>
        <w:numPr>
          <w:ilvl w:val="0"/>
          <w:numId w:val="10"/>
        </w:numPr>
      </w:pPr>
      <w:r>
        <w:rPr>
          <w:rFonts w:ascii="Calibri" w:hAnsi="Calibri" w:eastAsia="Calibri"/>
          <w:color w:val="1F2937"/>
        </w:rPr>
        <w:t>WebRTC-Signalisierung, HLS-Playlists und Mediensegmente verwenden TLS und kurzlebige Tokens; CORS und Origin-Prüfung sind restriktiv.</w:t>
      </w:r>
    </w:p>
    <w:p>
      <w:pPr>
        <w:spacing w:after="80" w:line="300" w:lineRule="auto"/>
        <w:numPr>
          <w:ilvl w:val="0"/>
          <w:numId w:val="10"/>
        </w:numPr>
      </w:pPr>
      <w:r>
        <w:rPr>
          <w:rFonts w:ascii="Calibri" w:hAnsi="Calibri" w:eastAsia="Calibri"/>
          <w:color w:val="1F2937"/>
        </w:rPr>
        <w:t>Gastlinks speichern Ablauf, erlaubte Sitzung, Widerruf, optionalen PIN-/Wasserzeichenmodus und eine pseudonyme Gastkennung.</w:t>
      </w:r>
    </w:p>
    <w:p>
      <w:pPr>
        <w:spacing w:after="80" w:line="300" w:lineRule="auto"/>
        <w:numPr>
          <w:ilvl w:val="0"/>
          <w:numId w:val="10"/>
        </w:numPr>
      </w:pPr>
      <w:r>
        <w:rPr>
          <w:rFonts w:ascii="Calibri" w:hAnsi="Calibri" w:eastAsia="Calibri"/>
          <w:color w:val="1F2937"/>
        </w:rPr>
        <w:t>Vor Aufzeichnung müssen Zweck, Rechtsgrundlage/Organisationsentscheidung, Informationspflichten, Zugriffsgruppe und Löschfrist hinterlegt sein.</w:t>
      </w:r>
    </w:p>
    <w:p>
      <w:pPr>
        <w:spacing w:after="80" w:line="300" w:lineRule="auto"/>
        <w:numPr>
          <w:ilvl w:val="0"/>
          <w:numId w:val="10"/>
        </w:numPr>
      </w:pPr>
      <w:r>
        <w:rPr>
          <w:rFonts w:ascii="Calibri" w:hAnsi="Calibri" w:eastAsia="Calibri"/>
          <w:color w:val="1F2937"/>
        </w:rPr>
        <w:t>Standbilder und Aufzeichnungen werden wie Nachweise klassifiziert, verschlüsselt, gequotet, auditiert und nicht im ungeschützten Webroot abgelegt.</w:t>
      </w:r>
    </w:p>
    <w:p>
      <w:pPr>
        <w:pStyle w:val="Heading2"/>
      </w:pPr>
      <w:r>
        <w:t>15.3 Streaming-Betriebszustände</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2300"/>
        <w:gridCol w:w="7060"/>
      </w:tblGrid>
      <w:tr>
        <w:trPr>
          <w:cantSplit w:val="1"/>
          <w:tblHeader w:val="true"/>
        </w:trPr>
        <w:tc>
          <w:tcPr>
            <w:tcW w:type="dxa" w:w="23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Status</w:t>
            </w:r>
          </w:p>
        </w:tc>
        <w:tc>
          <w:tcPr>
            <w:tcW w:type="dxa" w:w="70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Auslöser und UI-Verhalten</w:t>
            </w:r>
          </w:p>
        </w:tc>
      </w:tr>
      <w:tr>
        <w:trPr>
          <w:cantSplit w:val="1"/>
        </w:trPr>
        <w:tc>
          <w:tcPr>
            <w:tcW w:type="dxa" w:w="2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Bereit</w:t>
            </w:r>
          </w:p>
        </w:tc>
        <w:tc>
          <w:tcPr>
            <w:tcW w:type="dxa" w:w="70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Session und Schlüssel angelegt; noch kein Publisher.</w:t>
            </w:r>
          </w:p>
        </w:tc>
      </w:tr>
      <w:tr>
        <w:trPr>
          <w:cantSplit w:val="1"/>
        </w:trPr>
        <w:tc>
          <w:tcPr>
            <w:tcW w:type="dxa" w:w="2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Verbunden</w:t>
            </w:r>
          </w:p>
        </w:tc>
        <w:tc>
          <w:tcPr>
            <w:tcW w:type="dxa" w:w="70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Publisher sendet; Medienprobe wird validiert, aber noch kein stabiler Livezustand behauptet.</w:t>
            </w:r>
          </w:p>
        </w:tc>
      </w:tr>
      <w:tr>
        <w:trPr>
          <w:cantSplit w:val="1"/>
        </w:trPr>
        <w:tc>
          <w:tcPr>
            <w:tcW w:type="dxa" w:w="2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Live</w:t>
            </w:r>
          </w:p>
        </w:tc>
        <w:tc>
          <w:tcPr>
            <w:tcW w:type="dxa" w:w="70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Aktuelle Pakete, gültige Codecs und Wiedergabe vorhanden; Qualitätswerte werden gezeigt.</w:t>
            </w:r>
          </w:p>
        </w:tc>
      </w:tr>
      <w:tr>
        <w:trPr>
          <w:cantSplit w:val="1"/>
        </w:trPr>
        <w:tc>
          <w:tcPr>
            <w:tcW w:type="dxa" w:w="2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Instabil</w:t>
            </w:r>
          </w:p>
        </w:tc>
        <w:tc>
          <w:tcPr>
            <w:tcW w:type="dxa" w:w="70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Paketverlust, Unterbrechungen oder hohe Latenz; Warnung ohne Einfluss auf Flugsteuerung.</w:t>
            </w:r>
          </w:p>
        </w:tc>
      </w:tr>
      <w:tr>
        <w:trPr>
          <w:cantSplit w:val="1"/>
        </w:trPr>
        <w:tc>
          <w:tcPr>
            <w:tcW w:type="dxa" w:w="2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Getrennt</w:t>
            </w:r>
          </w:p>
        </w:tc>
        <w:tc>
          <w:tcPr>
            <w:tcW w:type="dxa" w:w="70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Timeout überschritten; Zuschauer sehen letzten Zeitstempel und klare Offline-Anzeige.</w:t>
            </w:r>
          </w:p>
        </w:tc>
      </w:tr>
      <w:tr>
        <w:trPr>
          <w:cantSplit w:val="1"/>
        </w:trPr>
        <w:tc>
          <w:tcPr>
            <w:tcW w:type="dxa" w:w="2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Beendet</w:t>
            </w:r>
          </w:p>
        </w:tc>
        <w:tc>
          <w:tcPr>
            <w:tcW w:type="dxa" w:w="70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Session geschlossen, Schlüssel widerrufen, Aufzeichnungssegmente finalisiert und Löschjob geplant.</w:t>
            </w:r>
          </w:p>
        </w:tc>
      </w:tr>
    </w:tbl>
    <w:p>
      <w:pPr>
        <w:spacing w:after="40"/>
      </w:pPr>
    </w:p>
    <w:p>
      <w:pPr>
        <w:pStyle w:val="Heading1"/>
      </w:pPr>
      <w:r>
        <w:t>16. Datenschutz, Sicherheit und Aufbewahrung</w:t>
      </w:r>
    </w:p>
    <w:p>
      <w:pPr>
        <w:pStyle w:val="Heading2"/>
      </w:pPr>
      <w:r>
        <w:t>16.1 Datenschutz durch Voreinstellung</w:t>
      </w:r>
    </w:p>
    <w:p>
      <w:pPr>
        <w:spacing w:after="80" w:line="300" w:lineRule="auto"/>
        <w:numPr>
          <w:ilvl w:val="0"/>
          <w:numId w:val="10"/>
        </w:numPr>
      </w:pPr>
      <w:r>
        <w:rPr>
          <w:rFonts w:ascii="Calibri" w:hAnsi="Calibri" w:eastAsia="Calibri"/>
          <w:color w:val="1F2937"/>
        </w:rPr>
        <w:t>Standardmäßig nur Flugzusammenfassung speichern; vollständige Telemetrie ist optional oder durch Betreiberregel aktiviert.</w:t>
      </w:r>
    </w:p>
    <w:p>
      <w:pPr>
        <w:spacing w:after="80" w:line="300" w:lineRule="auto"/>
        <w:numPr>
          <w:ilvl w:val="0"/>
          <w:numId w:val="10"/>
        </w:numPr>
      </w:pPr>
      <w:r>
        <w:rPr>
          <w:rFonts w:ascii="Calibri" w:hAnsi="Calibri" w:eastAsia="Calibri"/>
          <w:color w:val="1F2937"/>
        </w:rPr>
        <w:t>Kartenfreigaben runden oder verbergen sensible Start-/Landeorte; Rohkoordinaten benötigen eigenes Recht.</w:t>
      </w:r>
    </w:p>
    <w:p>
      <w:pPr>
        <w:spacing w:after="80" w:line="300" w:lineRule="auto"/>
        <w:numPr>
          <w:ilvl w:val="0"/>
          <w:numId w:val="10"/>
        </w:numPr>
      </w:pPr>
      <w:r>
        <w:rPr>
          <w:rFonts w:ascii="Calibri" w:hAnsi="Calibri" w:eastAsia="Calibri"/>
          <w:color w:val="1F2937"/>
        </w:rPr>
        <w:t>Kundendaten, Medienlinks und Pilotenakte werden logisch getrennt berechtigt.</w:t>
      </w:r>
    </w:p>
    <w:p>
      <w:pPr>
        <w:spacing w:after="80" w:line="300" w:lineRule="auto"/>
        <w:numPr>
          <w:ilvl w:val="0"/>
          <w:numId w:val="10"/>
        </w:numPr>
      </w:pPr>
      <w:r>
        <w:rPr>
          <w:rFonts w:ascii="Calibri" w:hAnsi="Calibri" w:eastAsia="Calibri"/>
          <w:color w:val="1F2937"/>
        </w:rPr>
        <w:t>Datenexport, Berichtigung, Sperrung und Löschantrag werden als Workflow protokolliert.</w:t>
      </w:r>
    </w:p>
    <w:p>
      <w:pPr>
        <w:spacing w:after="80" w:line="300" w:lineRule="auto"/>
        <w:numPr>
          <w:ilvl w:val="0"/>
          <w:numId w:val="10"/>
        </w:numPr>
      </w:pPr>
      <w:r>
        <w:rPr>
          <w:rFonts w:ascii="Calibri" w:hAnsi="Calibri" w:eastAsia="Calibri"/>
          <w:color w:val="1F2937"/>
        </w:rPr>
        <w:t>Aufbewahrung über Mindestfristen hinaus benötigt eine konfigurierbare Rechts-/Geschäftsbegründung.</w:t>
      </w:r>
    </w:p>
    <w:p>
      <w:pPr>
        <w:spacing w:after="80" w:line="300" w:lineRule="auto"/>
        <w:numPr>
          <w:ilvl w:val="0"/>
          <w:numId w:val="10"/>
        </w:numPr>
      </w:pPr>
      <w:r>
        <w:rPr>
          <w:rFonts w:ascii="Calibri" w:hAnsi="Calibri" w:eastAsia="Calibri"/>
          <w:color w:val="1F2937"/>
        </w:rPr>
        <w:t>Importe aus Drittstaat-Clouds werden vermieden, wenn lokaler Export denselben Zweck erfüllt.</w:t>
      </w:r>
    </w:p>
    <w:p>
      <w:pPr>
        <w:pStyle w:val="Heading2"/>
      </w:pPr>
      <w:r>
        <w:t>16.2 Sicherheitsmaßnahmen</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2200"/>
        <w:gridCol w:w="7160"/>
      </w:tblGrid>
      <w:tr>
        <w:trPr>
          <w:cantSplit w:val="1"/>
          <w:tblHeader w:val="true"/>
        </w:trPr>
        <w:tc>
          <w:tcPr>
            <w:tcW w:type="dxa" w:w="22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Bereich</w:t>
            </w:r>
          </w:p>
        </w:tc>
        <w:tc>
          <w:tcPr>
            <w:tcW w:type="dxa" w:w="71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Technische Festlegung</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Authentifizierung</w:t>
            </w:r>
          </w:p>
        </w:tc>
        <w:tc>
          <w:tcPr>
            <w:tcW w:type="dxa" w:w="7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Argon2id für Passwörter; TOTP/WebAuthn; OIDC/SSO optional; sichere Recovery.</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Autorisierung</w:t>
            </w:r>
          </w:p>
        </w:tc>
        <w:tc>
          <w:tcPr>
            <w:tcW w:type="dxa" w:w="7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RBAC plus Objekt-/Mandantenprüfung; Least Privilege; zeitlich begrenzter Supportzugriff.</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Verschlüsselung</w:t>
            </w:r>
          </w:p>
        </w:tc>
        <w:tc>
          <w:tcPr>
            <w:tcW w:type="dxa" w:w="7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TLS 1.2+; Speicherverschlüsselung; getrenntes Schlüsselmanagement; signierte Download-URLs.</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Dateien</w:t>
            </w:r>
          </w:p>
        </w:tc>
        <w:tc>
          <w:tcPr>
            <w:tcW w:type="dxa" w:w="7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Quarantäne, Virenscan, ZIP-Bomb-/Pfadprüfung, Größen-/Typgrenzen und Parser-Sandbox.</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Streaming</w:t>
            </w:r>
          </w:p>
        </w:tc>
        <w:tc>
          <w:tcPr>
            <w:tcW w:type="dxa" w:w="7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Getrennte Publish-/Read-Rechte, kurzlebige Tokens, Auth-Hook, Rate-/Bitratenlimits, restriktive Ports und kein öffentlicher Defaultpfad.</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Medienjobs</w:t>
            </w:r>
          </w:p>
        </w:tc>
        <w:tc>
          <w:tcPr>
            <w:tcW w:type="dxa" w:w="7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FFmpeg/Recorder ohne privilegierten Container, mit CPU-/RAM-/Zeitlimit, schreibgeschütztem Image und isoliertem Arbeitsverzeichnis.</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Audit</w:t>
            </w:r>
          </w:p>
        </w:tc>
        <w:tc>
          <w:tcPr>
            <w:tcW w:type="dxa" w:w="7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Append-only Ereignisse mit verketteten Hashes; Zugriff auf Ereignisakten und Exporte protokollieren.</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Backups</w:t>
            </w:r>
          </w:p>
        </w:tc>
        <w:tc>
          <w:tcPr>
            <w:tcW w:type="dxa" w:w="7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Verschlüsselt, getrennt, unveränderbare Sicherungen; regelmäßige Restore-Tests.</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Betrieb</w:t>
            </w:r>
          </w:p>
        </w:tc>
        <w:tc>
          <w:tcPr>
            <w:tcW w:type="dxa" w:w="7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Patchmanagement, Abhängigkeitsprüfung, Monitoring, Alarmierung und dokumentierte Incident Response.</w:t>
            </w:r>
          </w:p>
        </w:tc>
      </w:tr>
    </w:tbl>
    <w:p>
      <w:pPr>
        <w:spacing w:after="40"/>
      </w:pPr>
    </w:p>
    <w:p>
      <w:pPr>
        <w:pStyle w:val="Heading2"/>
      </w:pPr>
      <w:r>
        <w:t>16.3 Aufbewahrungslogik</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2200"/>
        <w:gridCol w:w="3950"/>
        <w:gridCol w:w="3210"/>
      </w:tblGrid>
      <w:tr>
        <w:trPr>
          <w:cantSplit w:val="1"/>
          <w:tblHeader w:val="true"/>
        </w:trPr>
        <w:tc>
          <w:tcPr>
            <w:tcW w:type="dxa" w:w="22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Datentyp</w:t>
            </w:r>
          </w:p>
        </w:tc>
        <w:tc>
          <w:tcPr>
            <w:tcW w:type="dxa" w:w="395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Mindest-/Standardregel</w:t>
            </w:r>
          </w:p>
        </w:tc>
        <w:tc>
          <w:tcPr>
            <w:tcW w:type="dxa" w:w="321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Löschlogik</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Offener Flug</w:t>
            </w:r>
          </w:p>
        </w:tc>
        <w:tc>
          <w:tcPr>
            <w:tcW w:type="dxa" w:w="39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Keine allgemeine EU-Flugbuch-Mindestfrist; Betreiberprofil setzt z. B. 3 Jahre als begründeten Standard.</w:t>
            </w:r>
          </w:p>
        </w:tc>
        <w:tc>
          <w:tcPr>
            <w:tcW w:type="dxa" w:w="321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Löschbar nach Profil, sofern kein Ereignis, Vertrag oder Legal Hold entgegensteht.</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Spezielle Betriebsdaten</w:t>
            </w:r>
          </w:p>
        </w:tc>
        <w:tc>
          <w:tcPr>
            <w:tcW w:type="dxa" w:w="39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Mindestens 3 Jahre ab Erstellung/letzter relevanter Änderung bzw. gemäß Genehmigung.</w:t>
            </w:r>
          </w:p>
        </w:tc>
        <w:tc>
          <w:tcPr>
            <w:tcW w:type="dxa" w:w="321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Rechtssperre bis Fristende; längere Auflage hat Vorrang.</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Wartungsdaten speziell</w:t>
            </w:r>
          </w:p>
        </w:tc>
        <w:tc>
          <w:tcPr>
            <w:tcW w:type="dxa" w:w="39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Mindestens 3 Jahre.</w:t>
            </w:r>
          </w:p>
        </w:tc>
        <w:tc>
          <w:tcPr>
            <w:tcW w:type="dxa" w:w="321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Keine physische Löschung vor Fristende; danach regelbasiert.</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Qualifikation/Training speziell</w:t>
            </w:r>
          </w:p>
        </w:tc>
        <w:tc>
          <w:tcPr>
            <w:tcW w:type="dxa" w:w="39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Mindestens 3 Jahre nach Ausscheiden oder Positionswechsel.</w:t>
            </w:r>
          </w:p>
        </w:tc>
        <w:tc>
          <w:tcPr>
            <w:tcW w:type="dxa" w:w="321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Frist beginnt ereignisbasiert; Statuswechsel ist zu protokollieren.</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Genehmigungsantrag/-akte</w:t>
            </w:r>
          </w:p>
        </w:tc>
        <w:tc>
          <w:tcPr>
            <w:tcW w:type="dxa" w:w="39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Mindestens 2 Jahre nach Ablauf bzw. Ablehnung nach einschlägiger EASA-AMC.</w:t>
            </w:r>
          </w:p>
        </w:tc>
        <w:tc>
          <w:tcPr>
            <w:tcW w:type="dxa" w:w="321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Ablauf-/Ablehnungsdatum bestimmt Fristbeginn.</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Rohtelemetrie</w:t>
            </w:r>
          </w:p>
        </w:tc>
        <w:tc>
          <w:tcPr>
            <w:tcW w:type="dxa" w:w="39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So kurz wie zweckgerecht; bei spezieller Pflicht oder Ereignis mindestens entsprechend sichern.</w:t>
            </w:r>
          </w:p>
        </w:tc>
        <w:tc>
          <w:tcPr>
            <w:tcW w:type="dxa" w:w="321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Zusammenfassung kann länger bleiben; Telemetrie separat löschen/sperren.</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Live ohne Aufnahme</w:t>
            </w:r>
          </w:p>
        </w:tc>
        <w:tc>
          <w:tcPr>
            <w:tcW w:type="dxa" w:w="39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Flüchtige Puffer nur technisch erforderlich; Sitzungsmetadaten nach Organisationsprofil.</w:t>
            </w:r>
          </w:p>
        </w:tc>
        <w:tc>
          <w:tcPr>
            <w:tcW w:type="dxa" w:w="321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Medienpuffer nach Session verwerfen; Zugriffslogs minimieren und fristgerecht löschen.</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Videoaufzeichnung</w:t>
            </w:r>
          </w:p>
        </w:tc>
        <w:tc>
          <w:tcPr>
            <w:tcW w:type="dxa" w:w="39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Einsatzbezogene, ausdrücklich festgelegte Frist; Standardvorschlag 30 Tage, nicht pauschal zwingend.</w:t>
            </w:r>
          </w:p>
        </w:tc>
        <w:tc>
          <w:tcPr>
            <w:tcW w:type="dxa" w:w="321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Automatische Löschung, sofern kein Ereignis, Vertrag, Einwilligungs-/Rechtsgrund oder Legal Hold entgegensteht.</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Standbild</w:t>
            </w:r>
          </w:p>
        </w:tc>
        <w:tc>
          <w:tcPr>
            <w:tcW w:type="dxa" w:w="39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Zweckbezogene Frist; bei Nachweis/Ereignis an dessen Akte gekoppelt.</w:t>
            </w:r>
          </w:p>
        </w:tc>
        <w:tc>
          <w:tcPr>
            <w:tcW w:type="dxa" w:w="321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Separat von Video lösch-/sperrbar; Hash und Audit bleiben nur soweit erforderlich.</w:t>
            </w:r>
          </w:p>
        </w:tc>
      </w:tr>
      <w:tr>
        <w:trPr>
          <w:cantSplit w:val="1"/>
        </w:trPr>
        <w:tc>
          <w:tcPr>
            <w:tcW w:type="dxa" w:w="22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Audit/Ereignis</w:t>
            </w:r>
          </w:p>
        </w:tc>
        <w:tc>
          <w:tcPr>
            <w:tcW w:type="dxa" w:w="39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Nach Rechts-, Sicherheits- und Nachweisbedarf; keine kürzere Frist als referenzierte Pflichtdaten.</w:t>
            </w:r>
          </w:p>
        </w:tc>
        <w:tc>
          <w:tcPr>
            <w:tcW w:type="dxa" w:w="321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Pseudonymisierung nach Ablauf prüfen; Integrität des Nachweises erhalten.</w:t>
            </w:r>
          </w:p>
        </w:tc>
      </w:tr>
    </w:tbl>
    <w:p>
      <w:pPr>
        <w:spacing w:after="40"/>
      </w:pPr>
    </w:p>
    <w:p>
      <w:pPr>
        <w:pStyle w:val="Heading1"/>
      </w:pPr>
      <w:r>
        <w:t>17. Schnittstellen und Berichte</w:t>
      </w:r>
    </w:p>
    <w:p>
      <w:pPr>
        <w:pStyle w:val="Heading2"/>
      </w:pPr>
      <w:r>
        <w:t>17.1 REST-API</w:t>
      </w:r>
    </w:p>
    <w:p>
      <w:pPr>
        <w:spacing w:after="80" w:line="300" w:lineRule="auto"/>
        <w:numPr>
          <w:ilvl w:val="0"/>
          <w:numId w:val="10"/>
        </w:numPr>
      </w:pPr>
      <w:r>
        <w:rPr>
          <w:rFonts w:ascii="Calibri" w:hAnsi="Calibri" w:eastAsia="Calibri"/>
          <w:color w:val="1F2937"/>
        </w:rPr>
        <w:t>OpenAPI 3.x, versionierte Endpunkte und OAuth2/OIDC für externe Anwendungen.</w:t>
      </w:r>
    </w:p>
    <w:p>
      <w:pPr>
        <w:spacing w:after="80" w:line="300" w:lineRule="auto"/>
        <w:numPr>
          <w:ilvl w:val="0"/>
          <w:numId w:val="10"/>
        </w:numPr>
      </w:pPr>
      <w:r>
        <w:rPr>
          <w:rFonts w:ascii="Calibri" w:hAnsi="Calibri" w:eastAsia="Calibri"/>
          <w:color w:val="1F2937"/>
        </w:rPr>
        <w:t>Ressourcen für Flüge, Einsätze, Planrevisionen, Geometrien, Reservierungen, Freigaben, Piloten, UAS, Komponenten, Nachweise, Wartung, Streams, Ereignisse und Exporte.</w:t>
      </w:r>
    </w:p>
    <w:p>
      <w:pPr>
        <w:spacing w:after="80" w:line="300" w:lineRule="auto"/>
        <w:numPr>
          <w:ilvl w:val="0"/>
          <w:numId w:val="10"/>
        </w:numPr>
      </w:pPr>
      <w:r>
        <w:rPr>
          <w:rFonts w:ascii="Calibri" w:hAnsi="Calibri" w:eastAsia="Calibri"/>
          <w:color w:val="1F2937"/>
        </w:rPr>
        <w:t>Idempotenzschlüssel für Imports/Erstellung und Webhooks für Importabschluss, Fristen und Statusänderungen.</w:t>
      </w:r>
    </w:p>
    <w:p>
      <w:pPr>
        <w:spacing w:after="80" w:line="300" w:lineRule="auto"/>
        <w:numPr>
          <w:ilvl w:val="0"/>
          <w:numId w:val="10"/>
        </w:numPr>
      </w:pPr>
      <w:r>
        <w:rPr>
          <w:rFonts w:ascii="Calibri" w:hAnsi="Calibri" w:eastAsia="Calibri"/>
          <w:color w:val="1F2937"/>
        </w:rPr>
        <w:t>Massenexport asynchron; Download nur über kurzlebige signierte Links.</w:t>
      </w:r>
    </w:p>
    <w:p>
      <w:pPr>
        <w:spacing w:after="80" w:line="300" w:lineRule="auto"/>
        <w:numPr>
          <w:ilvl w:val="0"/>
          <w:numId w:val="10"/>
        </w:numPr>
      </w:pPr>
      <w:r>
        <w:rPr>
          <w:rFonts w:ascii="Calibri" w:hAnsi="Calibri" w:eastAsia="Calibri"/>
          <w:color w:val="1F2937"/>
        </w:rPr>
        <w:t>Keine Herstellerzugangsdaten in Klartext; Connector-Secrets ausschließlich im Secret Store.</w:t>
      </w:r>
    </w:p>
    <w:p>
      <w:pPr>
        <w:pStyle w:val="Heading2"/>
      </w:pPr>
      <w:r>
        <w:t>17.2 Streaming-Integration</w:t>
      </w:r>
    </w:p>
    <w:p>
      <w:pPr>
        <w:spacing w:after="80" w:line="300" w:lineRule="auto"/>
        <w:numPr>
          <w:ilvl w:val="0"/>
          <w:numId w:val="10"/>
        </w:numPr>
      </w:pPr>
      <w:r>
        <w:rPr>
          <w:rFonts w:ascii="Calibri" w:hAnsi="Calibri" w:eastAsia="Calibri"/>
          <w:color w:val="1F2937"/>
        </w:rPr>
        <w:t>Interner Auth-Endpunkt für MediaMTX prüft Publish/Read, Pfad, IP/Clientkontext, Zeitfenster und Token und antwortet minimal ohne Fachdaten.</w:t>
      </w:r>
    </w:p>
    <w:p>
      <w:pPr>
        <w:spacing w:after="80" w:line="300" w:lineRule="auto"/>
        <w:numPr>
          <w:ilvl w:val="0"/>
          <w:numId w:val="10"/>
        </w:numPr>
      </w:pPr>
      <w:r>
        <w:rPr>
          <w:rFonts w:ascii="Calibri" w:hAnsi="Calibri" w:eastAsia="Calibri"/>
          <w:color w:val="1F2937"/>
        </w:rPr>
        <w:t>WebSocket/SSE veröffentlicht nur Status- und Qualitätsmetadaten an berechtigte Browser; Videodaten laufen nicht durch den Django-Prozess.</w:t>
      </w:r>
    </w:p>
    <w:p>
      <w:pPr>
        <w:spacing w:after="80" w:line="300" w:lineRule="auto"/>
        <w:numPr>
          <w:ilvl w:val="0"/>
          <w:numId w:val="10"/>
        </w:numPr>
      </w:pPr>
      <w:r>
        <w:rPr>
          <w:rFonts w:ascii="Calibri" w:hAnsi="Calibri" w:eastAsia="Calibri"/>
          <w:color w:val="1F2937"/>
        </w:rPr>
        <w:t>Lifecycle-Hooks melden Sessionstart, Publisher an/aus, Recording-Segment und Sessionende idempotent an UAS Smart.</w:t>
      </w:r>
    </w:p>
    <w:p>
      <w:pPr>
        <w:spacing w:after="80" w:line="300" w:lineRule="auto"/>
        <w:numPr>
          <w:ilvl w:val="0"/>
          <w:numId w:val="10"/>
        </w:numPr>
      </w:pPr>
      <w:r>
        <w:rPr>
          <w:rFonts w:ascii="Calibri" w:hAnsi="Calibri" w:eastAsia="Calibri"/>
          <w:color w:val="1F2937"/>
        </w:rPr>
        <w:t>Streamprofile liefern QR-/Copy-Konfiguration für bestätigte Sender, enthalten jedoch nie Read-Rechte oder unbegrenzte Master-Keys.</w:t>
      </w:r>
    </w:p>
    <w:p>
      <w:pPr>
        <w:spacing w:after="80" w:line="300" w:lineRule="auto"/>
        <w:numPr>
          <w:ilvl w:val="0"/>
          <w:numId w:val="10"/>
        </w:numPr>
      </w:pPr>
      <w:r>
        <w:rPr>
          <w:rFonts w:ascii="Calibri" w:hAnsi="Calibri" w:eastAsia="Calibri"/>
          <w:color w:val="1F2937"/>
        </w:rPr>
        <w:t>Externe DJI-Cloud-/SDK-Endpunkte befinden sich in optionalen Connectoren mit eigenen Secrets, Lizenzhinweisen und Abschaltmöglichkeit.</w:t>
      </w:r>
    </w:p>
    <w:p>
      <w:pPr>
        <w:pStyle w:val="Heading2"/>
      </w:pPr>
      <w:r>
        <w:t>17.3 Berichtstypen</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2100"/>
        <w:gridCol w:w="5000"/>
        <w:gridCol w:w="2260"/>
      </w:tblGrid>
      <w:tr>
        <w:trPr>
          <w:cantSplit w:val="1"/>
          <w:tblHeader w:val="true"/>
        </w:trPr>
        <w:tc>
          <w:tcPr>
            <w:tcW w:type="dxa" w:w="21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Bericht</w:t>
            </w:r>
          </w:p>
        </w:tc>
        <w:tc>
          <w:tcPr>
            <w:tcW w:type="dxa" w:w="50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Inhalt</w:t>
            </w:r>
          </w:p>
        </w:tc>
        <w:tc>
          <w:tcPr>
            <w:tcW w:type="dxa" w:w="22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Format</w:t>
            </w:r>
          </w:p>
        </w:tc>
      </w:tr>
      <w:tr>
        <w:trPr>
          <w:cantSplit w:val="1"/>
        </w:trPr>
        <w:tc>
          <w:tcPr>
            <w:tcW w:type="dxa" w:w="21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Pilotenflugbuch</w:t>
            </w:r>
          </w:p>
        </w:tc>
        <w:tc>
          <w:tcPr>
            <w:tcW w:type="dxa" w:w="50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Flüge, Stunden, Zyklen, Kategorien, UAS, Bestätigung.</w:t>
            </w:r>
          </w:p>
        </w:tc>
        <w:tc>
          <w:tcPr>
            <w:tcW w:type="dxa" w:w="22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PDF, CSV, JSON</w:t>
            </w:r>
          </w:p>
        </w:tc>
      </w:tr>
      <w:tr>
        <w:trPr>
          <w:cantSplit w:val="1"/>
        </w:trPr>
        <w:tc>
          <w:tcPr>
            <w:tcW w:type="dxa" w:w="21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Technisches Flugbuch</w:t>
            </w:r>
          </w:p>
        </w:tc>
        <w:tc>
          <w:tcPr>
            <w:tcW w:type="dxa" w:w="50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Flüge, Zähler, Mängel, Wartungen, Konfigurationsstand.</w:t>
            </w:r>
          </w:p>
        </w:tc>
        <w:tc>
          <w:tcPr>
            <w:tcW w:type="dxa" w:w="22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PDF, CSV, JSON</w:t>
            </w:r>
          </w:p>
        </w:tc>
      </w:tr>
      <w:tr>
        <w:trPr>
          <w:cantSplit w:val="1"/>
        </w:trPr>
        <w:tc>
          <w:tcPr>
            <w:tcW w:type="dxa" w:w="21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Einsatzbericht</w:t>
            </w:r>
          </w:p>
        </w:tc>
        <w:tc>
          <w:tcPr>
            <w:tcW w:type="dxa" w:w="50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Auftrag, Crew, Einzel-/Summenflüge, Nachweise, Besonderheiten.</w:t>
            </w:r>
          </w:p>
        </w:tc>
        <w:tc>
          <w:tcPr>
            <w:tcW w:type="dxa" w:w="22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PDF</w:t>
            </w:r>
          </w:p>
        </w:tc>
      </w:tr>
      <w:tr>
        <w:trPr>
          <w:cantSplit w:val="1"/>
        </w:trPr>
        <w:tc>
          <w:tcPr>
            <w:tcW w:type="dxa" w:w="21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Planungs-/Freigabebericht</w:t>
            </w:r>
          </w:p>
        </w:tc>
        <w:tc>
          <w:tcPr>
            <w:tcW w:type="dxa" w:w="50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Planrevision, Gebiete, Quellenstände, Ressourcen, Befunde, Entscheidung und Abweichungen.</w:t>
            </w:r>
          </w:p>
        </w:tc>
        <w:tc>
          <w:tcPr>
            <w:tcW w:type="dxa" w:w="22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PDF, GeoJSON/KML, JSON</w:t>
            </w:r>
          </w:p>
        </w:tc>
      </w:tr>
      <w:tr>
        <w:trPr>
          <w:cantSplit w:val="1"/>
        </w:trPr>
        <w:tc>
          <w:tcPr>
            <w:tcW w:type="dxa" w:w="21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Livebetriebsnachweis</w:t>
            </w:r>
          </w:p>
        </w:tc>
        <w:tc>
          <w:tcPr>
            <w:tcW w:type="dxa" w:w="50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Sessionzeiten, Kanalstatus, Zuschauer-/Freigabeaudit, Snapshots und Aufzeichnungsmanifest ohne Videozwang.</w:t>
            </w:r>
          </w:p>
        </w:tc>
        <w:tc>
          <w:tcPr>
            <w:tcW w:type="dxa" w:w="22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PDF/JSON/ZIP</w:t>
            </w:r>
          </w:p>
        </w:tc>
      </w:tr>
      <w:tr>
        <w:trPr>
          <w:cantSplit w:val="1"/>
        </w:trPr>
        <w:tc>
          <w:tcPr>
            <w:tcW w:type="dxa" w:w="21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Compliance-Paket</w:t>
            </w:r>
          </w:p>
        </w:tc>
        <w:tc>
          <w:tcPr>
            <w:tcW w:type="dxa" w:w="50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Flugdaten, Regelstand, Genehmigungen, Checklisten, Audit, Hashmanifest.</w:t>
            </w:r>
          </w:p>
        </w:tc>
        <w:tc>
          <w:tcPr>
            <w:tcW w:type="dxa" w:w="22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ZIP mit PDF/JSON/Originalen</w:t>
            </w:r>
          </w:p>
        </w:tc>
      </w:tr>
      <w:tr>
        <w:trPr>
          <w:cantSplit w:val="1"/>
        </w:trPr>
        <w:tc>
          <w:tcPr>
            <w:tcW w:type="dxa" w:w="21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Ereignisakte</w:t>
            </w:r>
          </w:p>
        </w:tc>
        <w:tc>
          <w:tcPr>
            <w:tcW w:type="dxa" w:w="50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Triage, Fristen, Meldestand, Anlagen, Maßnahmen und Revisionen.</w:t>
            </w:r>
          </w:p>
        </w:tc>
        <w:tc>
          <w:tcPr>
            <w:tcW w:type="dxa" w:w="22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PDF/JSON</w:t>
            </w:r>
          </w:p>
        </w:tc>
      </w:tr>
      <w:tr>
        <w:trPr>
          <w:cantSplit w:val="1"/>
        </w:trPr>
        <w:tc>
          <w:tcPr>
            <w:tcW w:type="dxa" w:w="21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Datenauskunft</w:t>
            </w:r>
          </w:p>
        </w:tc>
        <w:tc>
          <w:tcPr>
            <w:tcW w:type="dxa" w:w="50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Personenbezogene Daten und Herkunft im zulässigen Umfang.</w:t>
            </w:r>
          </w:p>
        </w:tc>
        <w:tc>
          <w:tcPr>
            <w:tcW w:type="dxa" w:w="22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ZIP/JSON/CSV</w:t>
            </w:r>
          </w:p>
        </w:tc>
      </w:tr>
    </w:tbl>
    <w:p>
      <w:pPr>
        <w:spacing w:after="40"/>
      </w:pPr>
    </w:p>
    <w:p>
      <w:pPr>
        <w:pStyle w:val="Heading1"/>
      </w:pPr>
      <w:r>
        <w:t>18. Betrieb, Deployment, Updates und Kapazität</w:t>
      </w:r>
    </w:p>
    <w:p>
      <w:pPr>
        <w:pStyle w:val="Heading2"/>
      </w:pPr>
      <w:r>
        <w:t>18.1 Referenz-Deployment</w:t>
      </w:r>
    </w:p>
    <w:p>
      <w:pPr>
        <w:spacing w:after="80" w:line="300" w:lineRule="auto"/>
        <w:numPr>
          <w:ilvl w:val="0"/>
          <w:numId w:val="10"/>
        </w:numPr>
      </w:pPr>
      <w:r>
        <w:rPr>
          <w:rFonts w:ascii="Calibri" w:hAnsi="Calibri" w:eastAsia="Calibri"/>
          <w:color w:val="1F2937"/>
        </w:rPr>
        <w:t>Containerisierte Bereitstellung für Produktion, Staging und Entwicklung mit identischen Images.</w:t>
      </w:r>
    </w:p>
    <w:p>
      <w:pPr>
        <w:spacing w:after="80" w:line="300" w:lineRule="auto"/>
        <w:numPr>
          <w:ilvl w:val="0"/>
          <w:numId w:val="10"/>
        </w:numPr>
      </w:pPr>
      <w:r>
        <w:rPr>
          <w:rFonts w:ascii="Calibri" w:hAnsi="Calibri" w:eastAsia="Calibri"/>
          <w:color w:val="1F2937"/>
        </w:rPr>
        <w:t>Datenbankmigrationen vorwärtskompatibel, transaktional und mit geprüftem Rollback-/Restore-Weg.</w:t>
      </w:r>
    </w:p>
    <w:p>
      <w:pPr>
        <w:spacing w:after="80" w:line="300" w:lineRule="auto"/>
        <w:numPr>
          <w:ilvl w:val="0"/>
          <w:numId w:val="10"/>
        </w:numPr>
      </w:pPr>
      <w:r>
        <w:rPr>
          <w:rFonts w:ascii="Calibri" w:hAnsi="Calibri" w:eastAsia="Calibri"/>
          <w:color w:val="1F2937"/>
        </w:rPr>
        <w:t>Regelpakete und Importadapter sind unabhängig von Vollreleases aktualisierbar, aber signiert und versionsgebunden.</w:t>
      </w:r>
    </w:p>
    <w:p>
      <w:pPr>
        <w:spacing w:after="80" w:line="300" w:lineRule="auto"/>
        <w:numPr>
          <w:ilvl w:val="0"/>
          <w:numId w:val="10"/>
        </w:numPr>
      </w:pPr>
      <w:r>
        <w:rPr>
          <w:rFonts w:ascii="Calibri" w:hAnsi="Calibri" w:eastAsia="Calibri"/>
          <w:color w:val="1F2937"/>
        </w:rPr>
        <w:t>Vollständige Überwachung von API, Queue, Importfehlern, Speicher, Backups, Zertifikaten und Fristjobs.</w:t>
      </w:r>
    </w:p>
    <w:p>
      <w:pPr>
        <w:spacing w:after="80" w:line="300" w:lineRule="auto"/>
        <w:numPr>
          <w:ilvl w:val="0"/>
          <w:numId w:val="10"/>
        </w:numPr>
      </w:pPr>
      <w:r>
        <w:rPr>
          <w:rFonts w:ascii="Calibri" w:hAnsi="Calibri" w:eastAsia="Calibri"/>
          <w:color w:val="1F2937"/>
        </w:rPr>
        <w:t>Self-Hosting auf eigenem Linux-Server ist Standard; externe Subunternehmer und Datenstandorte werden nur bei aktivierten Connectoren transparent dokumentiert.</w:t>
      </w:r>
    </w:p>
    <w:p>
      <w:pPr>
        <w:spacing w:after="80" w:line="300" w:lineRule="auto"/>
        <w:numPr>
          <w:ilvl w:val="0"/>
          <w:numId w:val="10"/>
        </w:numPr>
      </w:pPr>
      <w:r>
        <w:rPr>
          <w:rFonts w:ascii="Calibri" w:hAnsi="Calibri" w:eastAsia="Calibri"/>
          <w:color w:val="1F2937"/>
        </w:rPr>
        <w:t>Sicherheitsupdates erhalten priorisierten Releaseweg; kritische Änderungen werden im Changelog und Audit vermerkt.</w:t>
      </w:r>
    </w:p>
    <w:p>
      <w:pPr>
        <w:spacing w:after="80" w:line="300" w:lineRule="auto"/>
        <w:numPr>
          <w:ilvl w:val="0"/>
          <w:numId w:val="10"/>
        </w:numPr>
      </w:pPr>
      <w:r>
        <w:rPr>
          <w:rFonts w:ascii="Calibri" w:hAnsi="Calibri" w:eastAsia="Calibri"/>
          <w:color w:val="1F2937"/>
        </w:rPr>
        <w:t>Plesk kann als Host-Verwaltung und Reverse-Proxy-Rahmen dienen; die Fachkomponenten bleiben in klar versionierten Containern und benötigen keine Plesk-spezifische Datenhaltung.</w:t>
      </w:r>
    </w:p>
    <w:p>
      <w:pPr>
        <w:spacing w:after="80" w:line="300" w:lineRule="auto"/>
        <w:numPr>
          <w:ilvl w:val="0"/>
          <w:numId w:val="10"/>
        </w:numPr>
      </w:pPr>
      <w:r>
        <w:rPr>
          <w:rFonts w:ascii="Calibri" w:hAnsi="Calibri" w:eastAsia="Calibri"/>
          <w:color w:val="1F2937"/>
        </w:rPr>
        <w:t>Produktiv- und Sicherungsspeicher liegen auf getrennten Volumes/Zielen; Aufzeichnungen erhalten eigene Quota und dürfen Datenbank/Root-Dateisystem nicht füllen.</w:t>
      </w:r>
    </w:p>
    <w:p>
      <w:pPr>
        <w:pStyle w:val="Heading2"/>
      </w:pPr>
      <w:r>
        <w:t>18.2 Open-Source- und Releasevorgaben</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2300"/>
        <w:gridCol w:w="7060"/>
      </w:tblGrid>
      <w:tr>
        <w:trPr>
          <w:cantSplit w:val="1"/>
          <w:tblHeader w:val="true"/>
        </w:trPr>
        <w:tc>
          <w:tcPr>
            <w:tcW w:type="dxa" w:w="23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Thema</w:t>
            </w:r>
          </w:p>
        </w:tc>
        <w:tc>
          <w:tcPr>
            <w:tcW w:type="dxa" w:w="70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Festlegung</w:t>
            </w:r>
          </w:p>
        </w:tc>
      </w:tr>
      <w:tr>
        <w:trPr>
          <w:cantSplit w:val="1"/>
        </w:trPr>
        <w:tc>
          <w:tcPr>
            <w:tcW w:type="dxa" w:w="2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Projektlizenz</w:t>
            </w:r>
          </w:p>
        </w:tc>
        <w:tc>
          <w:tcPr>
            <w:tcW w:type="dxa" w:w="70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Vorzugsweise AGPLv3 für den UAS-Smart-Kern; finale Lizenzprüfung vor erster Veröffentlichung.</w:t>
            </w:r>
          </w:p>
        </w:tc>
      </w:tr>
      <w:tr>
        <w:trPr>
          <w:cantSplit w:val="1"/>
        </w:trPr>
        <w:tc>
          <w:tcPr>
            <w:tcW w:type="dxa" w:w="2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Abhängigkeiten</w:t>
            </w:r>
          </w:p>
        </w:tc>
        <w:tc>
          <w:tcPr>
            <w:tcW w:type="dxa" w:w="70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Nur kompatible Lizenzen; automatischer Lizenzscan und CycloneDX-/SPDX-SBOM je Release.</w:t>
            </w:r>
          </w:p>
        </w:tc>
      </w:tr>
      <w:tr>
        <w:trPr>
          <w:cantSplit w:val="1"/>
        </w:trPr>
        <w:tc>
          <w:tcPr>
            <w:tcW w:type="dxa" w:w="2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Reproduzierbarkeit</w:t>
            </w:r>
          </w:p>
        </w:tc>
        <w:tc>
          <w:tcPr>
            <w:tcW w:type="dxa" w:w="70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Versionierte Lockfiles, veröffentlichte Container-Digests, Buildanleitung und signierte Release-Artefakte.</w:t>
            </w:r>
          </w:p>
        </w:tc>
      </w:tr>
      <w:tr>
        <w:trPr>
          <w:cantSplit w:val="1"/>
        </w:trPr>
        <w:tc>
          <w:tcPr>
            <w:tcW w:type="dxa" w:w="2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Herstelleradapter</w:t>
            </w:r>
          </w:p>
        </w:tc>
        <w:tc>
          <w:tcPr>
            <w:tcW w:type="dxa" w:w="70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Eigenes Modul und Lizenzhinweis; proprietäre SDKs/API-Zugänge werden nicht in offene Distributionspakete eingebettet, wenn Bedingungen dies verbieten.</w:t>
            </w:r>
          </w:p>
        </w:tc>
      </w:tr>
      <w:tr>
        <w:trPr>
          <w:cantSplit w:val="1"/>
        </w:trPr>
        <w:tc>
          <w:tcPr>
            <w:tcW w:type="dxa" w:w="2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Updates</w:t>
            </w:r>
          </w:p>
        </w:tc>
        <w:tc>
          <w:tcPr>
            <w:tcW w:type="dxa" w:w="70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Signatur, Backup, Preflight, Wartungsmodus, Migration, Healthcheck und dokumentierter Rollback-/Restore-Pfad.</w:t>
            </w:r>
          </w:p>
        </w:tc>
      </w:tr>
      <w:tr>
        <w:trPr>
          <w:cantSplit w:val="1"/>
        </w:trPr>
        <w:tc>
          <w:tcPr>
            <w:tcW w:type="dxa" w:w="23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Datenhoheit</w:t>
            </w:r>
          </w:p>
        </w:tc>
        <w:tc>
          <w:tcPr>
            <w:tcW w:type="dxa" w:w="70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Keine versteckte Telemetrie; vollständiger Export und Restore ohne Projekt-Cloud.</w:t>
            </w:r>
          </w:p>
        </w:tc>
      </w:tr>
    </w:tbl>
    <w:p>
      <w:pPr>
        <w:spacing w:after="40"/>
      </w:pPr>
    </w:p>
    <w:p>
      <w:pPr>
        <w:pStyle w:val="Heading2"/>
      </w:pPr>
      <w:r>
        <w:t>18.3 Server- und Trafficplanung</w:t>
      </w:r>
    </w:p>
    <w:p>
      <w:r>
        <w:rPr>
          <w:rFonts w:ascii="Calibri" w:hAnsi="Calibri" w:eastAsia="Calibri"/>
          <w:color w:val="1F2937"/>
        </w:rPr>
        <w:t>Für die vorgegebene Anbindung werden 1.000 Mbit/s und 10.000 GB Monatsvolumen angenommen; nach Verbrauch erfolgt eine Drosselung auf 100 Mbit/s. Bei 5 Mbit/s fallen je Streamrichtung rund 2,25 GB pro Stunde an. Ein einstündiger Einsatz mit einem Eingang und fünf gleichzeitigen Zuschauern verursacht daher grob 13,5 GB, sofern der Anbieter Ein- und Ausgang zählt. 10.000 GB entsprechen unter dieser Annahme etwa 740 solchen Einsatzstunden. Messung und Providerabrechnung haben Vorrang vor der Schätzung.</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1900"/>
        <w:gridCol w:w="3900"/>
        <w:gridCol w:w="3560"/>
      </w:tblGrid>
      <w:tr>
        <w:trPr>
          <w:cantSplit w:val="1"/>
          <w:tblHeader w:val="true"/>
        </w:trPr>
        <w:tc>
          <w:tcPr>
            <w:tcW w:type="dxa" w:w="19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Profil</w:t>
            </w:r>
          </w:p>
        </w:tc>
        <w:tc>
          <w:tcPr>
            <w:tcW w:type="dxa" w:w="39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Richtwert ohne Transkodierung</w:t>
            </w:r>
          </w:p>
        </w:tc>
        <w:tc>
          <w:tcPr>
            <w:tcW w:type="dxa" w:w="35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Planungshinweis</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Kernbetrieb</w:t>
            </w:r>
          </w:p>
        </w:tc>
        <w:tc>
          <w:tcPr>
            <w:tcW w:type="dxa" w:w="3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4 vCPU, 8 GB RAM, SSD; 1–2 Streams/kleine Organisation.</w:t>
            </w:r>
          </w:p>
        </w:tc>
        <w:tc>
          <w:tcPr>
            <w:tcW w:type="dxa" w:w="35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Datenbank, Web, Queue und Medienserver überwachen; getrenntes Backupziel.</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Empfohlen</w:t>
            </w:r>
          </w:p>
        </w:tc>
        <w:tc>
          <w:tcPr>
            <w:tcW w:type="dxa" w:w="3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8 vCPU, 16 GB RAM, NVMe/SSD; mehrere Streams, Reports und Aufzeichnung.</w:t>
            </w:r>
          </w:p>
        </w:tc>
        <w:tc>
          <w:tcPr>
            <w:tcW w:type="dxa" w:w="35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Recorder-Speicher separat; Lasttest mit realen Codecs und Zuschauerpfaden.</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Transkodierung</w:t>
            </w:r>
          </w:p>
        </w:tc>
        <w:tc>
          <w:tcPr>
            <w:tcW w:type="dxa" w:w="3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Zusätzliche CPU/GPU je Codec, Auflösung und Kanal; kein pauschaler Wert.</w:t>
            </w:r>
          </w:p>
        </w:tc>
        <w:tc>
          <w:tcPr>
            <w:tcW w:type="dxa" w:w="35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Standardmäßig vermeiden; H.264/AAC-kompatiblen Publish bevorzugen.</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100-Mbit/s-Drossel</w:t>
            </w:r>
          </w:p>
        </w:tc>
        <w:tc>
          <w:tcPr>
            <w:tcW w:type="dxa" w:w="3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Bei 5 Mbit/s rechnerisch 20 Ausgänge, betrieblich mit Reserve deutlich weniger.</w:t>
            </w:r>
          </w:p>
        </w:tc>
        <w:tc>
          <w:tcPr>
            <w:tcW w:type="dxa" w:w="35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Planungsgrenze etwa 15 gleichzeitige Zuschauer plus Web/Overhead, per Messung bestätigen.</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Speicher</w:t>
            </w:r>
          </w:p>
        </w:tc>
        <w:tc>
          <w:tcPr>
            <w:tcW w:type="dxa" w:w="3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5 Mbit/s entsprechen rund 2,25 GB je Aufzeichnungsstunde.</w:t>
            </w:r>
          </w:p>
        </w:tc>
        <w:tc>
          <w:tcPr>
            <w:tcW w:type="dxa" w:w="35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Quota, 80-%-Warnung, harte Reserve und automatische Löschung vorsehen.</w:t>
            </w:r>
          </w:p>
        </w:tc>
      </w:tr>
    </w:tbl>
    <w:p>
      <w:pPr>
        <w:spacing w:after="40"/>
      </w:pPr>
    </w:p>
    <w:p>
      <w:pPr>
        <w:spacing w:before="120" w:after="200" w:line="264" w:lineRule="auto"/>
        <w:ind w:left="173" w:right="115"/>
        <w:shd w:fill="E8EEF5"/>
        <w:pBdr>
          <w:left w:val="single" w:sz="18" w:space="8" w:color="2E74B5"/>
        </w:pBdr>
      </w:pPr>
      <w:r>
        <w:rPr>
          <w:rFonts w:ascii="Calibri" w:hAnsi="Calibri" w:eastAsia="Calibri"/>
          <w:b/>
          <w:color w:val="2E74B5"/>
        </w:rPr>
        <w:t xml:space="preserve">Kapazitätsgrundsatz: </w:t>
      </w:r>
      <w:r>
        <w:rPr>
          <w:rFonts w:ascii="Calibri" w:hAnsi="Calibri" w:eastAsia="Calibri"/>
          <w:color w:val="1F2937"/>
        </w:rPr>
        <w:t>Media-Passthrough ist vergleichsweise ressourcenschonend; Transkodierung dominiert CPU/GPU. Vor Produktivbetrieb werden reale DJI-/Drittsender, WebRTC mit und ohne TURN, HLS, Aufzeichnung, Backup und gleichzeitige Importe gemeinsam getestet.</w:t>
      </w:r>
    </w:p>
    <w:p>
      <w:pPr>
        <w:pStyle w:val="Heading2"/>
      </w:pPr>
      <w:r>
        <w:t>18.4 Ports und Netzsegmente</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1900"/>
        <w:gridCol w:w="3900"/>
        <w:gridCol w:w="3560"/>
      </w:tblGrid>
      <w:tr>
        <w:trPr>
          <w:cantSplit w:val="1"/>
          <w:tblHeader w:val="true"/>
        </w:trPr>
        <w:tc>
          <w:tcPr>
            <w:tcW w:type="dxa" w:w="19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Zone</w:t>
            </w:r>
          </w:p>
        </w:tc>
        <w:tc>
          <w:tcPr>
            <w:tcW w:type="dxa" w:w="39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Erreichbarkeit</w:t>
            </w:r>
          </w:p>
        </w:tc>
        <w:tc>
          <w:tcPr>
            <w:tcW w:type="dxa" w:w="35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Grundsatz</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Öffentlich</w:t>
            </w:r>
          </w:p>
        </w:tc>
        <w:tc>
          <w:tcPr>
            <w:tcW w:type="dxa" w:w="3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HTTPS 443; benötigte Publish-/WebRTC-/SRT-Ports nur nach gewähltem Profil.</w:t>
            </w:r>
          </w:p>
        </w:tc>
        <w:tc>
          <w:tcPr>
            <w:tcW w:type="dxa" w:w="35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TLS, Firewall, Rate-/Bitratenlimit und keine offenen Adminschnittstellen.</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Intern</w:t>
            </w:r>
          </w:p>
        </w:tc>
        <w:tc>
          <w:tcPr>
            <w:tcW w:type="dxa" w:w="3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PostgreSQL, Valkey, Objektstorage, Auth-Hooks, Metrics.</w:t>
            </w:r>
          </w:p>
        </w:tc>
        <w:tc>
          <w:tcPr>
            <w:tcW w:type="dxa" w:w="35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Nur Container-/Hostnetz; keine öffentliche Bindung.</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Administration</w:t>
            </w:r>
          </w:p>
        </w:tc>
        <w:tc>
          <w:tcPr>
            <w:tcW w:type="dxa" w:w="3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VPN oder stark geschützter HTTPS-Zugang mit 2FA.</w:t>
            </w:r>
          </w:p>
        </w:tc>
        <w:tc>
          <w:tcPr>
            <w:tcW w:type="dxa" w:w="35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MediaMTX-/Datenbank-Admin niemals direkt öffentlich.</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Outbound</w:t>
            </w:r>
          </w:p>
        </w:tc>
        <w:tc>
          <w:tcPr>
            <w:tcW w:type="dxa" w:w="39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Explizite Allowlist für Karten, Wetter, DJI oder Benachrichtigungen.</w:t>
            </w:r>
          </w:p>
        </w:tc>
        <w:tc>
          <w:tcPr>
            <w:tcW w:type="dxa" w:w="35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Alle externen Ziele dokumentieren; Kernbetrieb bleibt ohne optionale Connectoren möglich.</w:t>
            </w:r>
          </w:p>
        </w:tc>
      </w:tr>
    </w:tbl>
    <w:p>
      <w:pPr>
        <w:spacing w:after="40"/>
      </w:pPr>
    </w:p>
    <w:p>
      <w:pPr>
        <w:pStyle w:val="Heading1"/>
      </w:pPr>
      <w:r>
        <w:t>19. Test- und Abnahmekonzept</w:t>
      </w:r>
    </w:p>
    <w:p>
      <w:pPr>
        <w:pStyle w:val="Heading2"/>
      </w:pPr>
      <w:r>
        <w:t>19.1 Teststufen</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1800"/>
        <w:gridCol w:w="3400"/>
        <w:gridCol w:w="4160"/>
      </w:tblGrid>
      <w:tr>
        <w:trPr>
          <w:cantSplit w:val="1"/>
          <w:tblHeader w:val="true"/>
        </w:trPr>
        <w:tc>
          <w:tcPr>
            <w:tcW w:type="dxa" w:w="18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Stufe</w:t>
            </w:r>
          </w:p>
        </w:tc>
        <w:tc>
          <w:tcPr>
            <w:tcW w:type="dxa" w:w="34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Schwerpunkt</w:t>
            </w:r>
          </w:p>
        </w:tc>
        <w:tc>
          <w:tcPr>
            <w:tcW w:type="dxa" w:w="41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Mindestnachweis</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Unit</w:t>
            </w:r>
          </w:p>
        </w:tc>
        <w:tc>
          <w:tcPr>
            <w:tcW w:type="dxa" w:w="34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Regeln, Umrechnungen, Fristen, Parserfunktionen.</w:t>
            </w:r>
          </w:p>
        </w:tc>
        <w:tc>
          <w:tcPr>
            <w:tcW w:type="dxa" w:w="4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Automatisierte Tests je Regel/Parserzweig.</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Integration</w:t>
            </w:r>
          </w:p>
        </w:tc>
        <w:tc>
          <w:tcPr>
            <w:tcW w:type="dxa" w:w="34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DB, Speicher, Queue, PDF, API, Rechte.</w:t>
            </w:r>
          </w:p>
        </w:tc>
        <w:tc>
          <w:tcPr>
            <w:tcW w:type="dxa" w:w="4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Reproduzierbare Testumgebung und negative Rechtefälle.</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Import-Golden-Files</w:t>
            </w:r>
          </w:p>
        </w:tc>
        <w:tc>
          <w:tcPr>
            <w:tcW w:type="dxa" w:w="34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Hersteller-/Versionsformate.</w:t>
            </w:r>
          </w:p>
        </w:tc>
        <w:tc>
          <w:tcPr>
            <w:tcW w:type="dxa" w:w="4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Freigegebene Beispieldateien mit erwarteter Normalisierung.</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Security</w:t>
            </w:r>
          </w:p>
        </w:tc>
        <w:tc>
          <w:tcPr>
            <w:tcW w:type="dxa" w:w="34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OWASP, Mandantentrennung, Uploads, Secrets.</w:t>
            </w:r>
          </w:p>
        </w:tc>
        <w:tc>
          <w:tcPr>
            <w:tcW w:type="dxa" w:w="4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SAST/DAST, Dependency Scan, Penetrationstest vor V1.</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Performance</w:t>
            </w:r>
          </w:p>
        </w:tc>
        <w:tc>
          <w:tcPr>
            <w:tcW w:type="dxa" w:w="34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Suche, Dashboard, große Telemetrie/Importe.</w:t>
            </w:r>
          </w:p>
        </w:tc>
        <w:tc>
          <w:tcPr>
            <w:tcW w:type="dxa" w:w="4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Messprotokoll gegen LH-NF-06/07.</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Planung/Geodaten</w:t>
            </w:r>
          </w:p>
        </w:tc>
        <w:tc>
          <w:tcPr>
            <w:tcW w:type="dxa" w:w="34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4D-Geometrien, Konflikte, Quellenstände, Freigabeinvalidierung.</w:t>
            </w:r>
          </w:p>
        </w:tc>
        <w:tc>
          <w:tcPr>
            <w:tcW w:type="dxa" w:w="4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Szenarien für offen, STS und SORA/PDRA mit Planrevisionen.</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Streaming</w:t>
            </w:r>
          </w:p>
        </w:tc>
        <w:tc>
          <w:tcPr>
            <w:tcW w:type="dxa" w:w="34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Publish/Auth, WebRTC/HLS, NAT/TURN, Abbruch, Quota und Recording.</w:t>
            </w:r>
          </w:p>
        </w:tc>
        <w:tc>
          <w:tcPr>
            <w:tcW w:type="dxa" w:w="4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Reale Sender/Browser, Last- und Missbrauchsfälle gegen LH-LIVE/LH-NF-13 bis 15.</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Lizenz/SBOM</w:t>
            </w:r>
          </w:p>
        </w:tc>
        <w:tc>
          <w:tcPr>
            <w:tcW w:type="dxa" w:w="34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Open-Source-Kompatibilität und Lieferkette.</w:t>
            </w:r>
          </w:p>
        </w:tc>
        <w:tc>
          <w:tcPr>
            <w:tcW w:type="dxa" w:w="4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SBOM, Lizenzbericht, reproduzierbarer Build und Signaturprüfung.</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Restore</w:t>
            </w:r>
          </w:p>
        </w:tc>
        <w:tc>
          <w:tcPr>
            <w:tcW w:type="dxa" w:w="34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Backup und Notfallwiederherstellung.</w:t>
            </w:r>
          </w:p>
        </w:tc>
        <w:tc>
          <w:tcPr>
            <w:tcW w:type="dxa" w:w="4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Dokumentierter Restore-Test gegen RPO/RTO.</w:t>
            </w:r>
          </w:p>
        </w:tc>
      </w:tr>
      <w:tr>
        <w:trPr>
          <w:cantSplit w:val="1"/>
        </w:trPr>
        <w:tc>
          <w:tcPr>
            <w:tcW w:type="dxa" w:w="18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Fachabnahme</w:t>
            </w:r>
          </w:p>
        </w:tc>
        <w:tc>
          <w:tcPr>
            <w:tcW w:type="dxa" w:w="34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Muss-Anforderungen und Rechtsdarstellung.</w:t>
            </w:r>
          </w:p>
        </w:tc>
        <w:tc>
          <w:tcPr>
            <w:tcW w:type="dxa" w:w="41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Abnahmeprotokoll mit Anforderungs-ID und Ergebnis.</w:t>
            </w:r>
          </w:p>
        </w:tc>
      </w:tr>
    </w:tbl>
    <w:p>
      <w:pPr>
        <w:spacing w:after="40"/>
      </w:pPr>
    </w:p>
    <w:p>
      <w:pPr>
        <w:pStyle w:val="Heading2"/>
      </w:pPr>
      <w:r>
        <w:t>19.2 Zentrale Abnahmetests</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1250"/>
        <w:gridCol w:w="2350"/>
        <w:gridCol w:w="5760"/>
      </w:tblGrid>
      <w:tr>
        <w:trPr>
          <w:cantSplit w:val="1"/>
          <w:tblHeader w:val="true"/>
        </w:trPr>
        <w:tc>
          <w:tcPr>
            <w:tcW w:type="dxa" w:w="125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ID</w:t>
            </w:r>
          </w:p>
        </w:tc>
        <w:tc>
          <w:tcPr>
            <w:tcW w:type="dxa" w:w="235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Test</w:t>
            </w:r>
          </w:p>
        </w:tc>
        <w:tc>
          <w:tcPr>
            <w:tcW w:type="dxa" w:w="57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Erwartung</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AT-01</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DJI-Duplikat</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Dieselbe DJI-Datei zweimal importieren; zweiter Lauf erzeugt keinen unbemerkten Doppel-Flug.</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AT-02</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Unbekanntes Format</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Unbekannte Logversion bleibt als Rohimport erhalten und erzeugt keine falschen Daten.</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AT-03</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Feldherkunft</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Bei Startzeit, Dauer, Höhe und Position ist Import-/Berechnungs-/Manuell-Quelle sichtbar.</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AT-04</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Zeitzone</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Flug über Sommerzeitgrenze wird ohne negative/falsche Dauer gespeichert.</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AT-05</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Offen privat</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Flug kann mit schlankem freiwilligem Datensatz abgeschlossen werden; Empfehlungen sind nicht als Gesetz markiert.</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AT-06</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Speziell</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Abschluss ohne Genehmigung, Pilot, UAS, Checkliste oder Vorkommnisangabe wird als unvollständig abgewiesen.</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AT-07</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Abweichung</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Abgelaufener Pilotennachweis verhindert nicht die Dokumentation, erzeugt jedoch sichtbaren Compliance-Verstoß.</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AT-08</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Revision</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Korrektur eines abgeschlossenen Flugs bewahrt Vorversion, Grund, Person und Zeit.</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AT-09</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Aufbewahrung</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Spezielle Pflichtdaten lassen sich vor Fristende nicht physisch löschen.</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AT-10</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Mandantentrennung</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Benutzer A kann weder über UI noch API/ID-Manipulation Daten von Mandant B lesen.</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AT-11</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Grounding</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Gesperrte Batterie warnt/blockiert neue Planung, verändert aber keine historischen Flüge.</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AT-12</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Ereignisfrist</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Mögliche Meldepflicht setzt korrekt 72 Stunden ab Kenntniszeitpunkt und eskaliert.</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AT-13</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Auditexport</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Export enthält Flug, Nachweise, Regelversion, Revisionen, Rohdateiliste und prüfbares Hashmanifest.</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AT-14</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Datenschutz</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Kundenbericht kann Standortdaten runden, ohne Originaldaten zu verändern.</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AT-15</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Restore</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Stichprobenflug einschließlich Rohlog und Audit wird aus Backup vollständig wiederhergestellt.</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AT-16</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Ressourcenkonflikt</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Dasselbe UAS oder dieselbe Batterie kann nicht unbemerkt in zwei überlappenden Einsätzen exklusiv reserviert werden.</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AT-17</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Betriebsgebiete</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Flug-, Kontingenzvolumen und Bodenrisikopuffer bleiben in Karte, Export und Revision eindeutig getrennt.</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AT-18</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Evidenzalter</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Veralteter Geo-Zonen-/Luftraum-/Wetterstand ergibt niemals einen grünen Tagescheck und fordert Aktualisierung.</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AT-19</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Freigabeinvalidierung</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Änderung von Datum, Gebiet, UAS, Pilot oder Rechtsgrundlage setzt freigegebenen Plan nachvollziehbar zurück.</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AT-20</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Harte/softe Befunde</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Harte Sperre kann nicht übersteuert werden; Warnung nur durch berechtigte Rolle mit Grund und Audit.</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AT-21</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Plan-Ist</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Importierter Flug wird vorgeschlagen, bestätigt zugeordnet und mit Route, Zeit, Crew und Komponenten gegen den Plan verglichen.</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AT-22</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Publish-Schutz</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Ungültiger, abgelaufener oder fremder Stream-Key kann weder senden noch einen Pfad erraten.</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AT-23</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Browser-Livebild</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Freigegebener H.264-Teststream läuft per WebRTC in unterstützten Desktop-/Mobilbrowsern; HLS-Fallback ist gekennzeichnet.</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AT-24</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Gastlink</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Link ist auf einen Stream und ein Zeitfenster beschränkt, widerrufbar und gewährt keine übrigen Einsatzdaten.</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AT-25</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Aufnahme-Default</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Neue Stream-Session erzeugt ohne ausdrückliche Aufzeichnungsentscheidung keine dauerhafte Videodatei.</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AT-26</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Quota/Löschung</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Aufzeichnung warnt vor Quota, stoppt sicher an harter Grenze und wird nach Frist gelöscht, sofern kein Hold besteht.</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AT-27</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Streamabbruch</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Publisher-Abbruch wird innerhalb des konfigurierten Timeouts angezeigt, ohne Webanwendung oder andere Streams zu stören.</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AT-28</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Lasttest</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5 Eingänge und 25 Zuschauer ohne Transkodierung erfüllen vereinbarte Stabilitäts-/Latenzziele auf dem Referenzserver.</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AT-29</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Self-Hosting</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Frische Linux-Installation funktioniert ohne Hersteller-Cloud und stellt Kern, Planung, Livebild und Export bereit.</w:t>
            </w:r>
          </w:p>
        </w:tc>
      </w:tr>
      <w:tr>
        <w:trPr>
          <w:cantSplit w:val="1"/>
        </w:trPr>
        <w:tc>
          <w:tcPr>
            <w:tcW w:type="dxa" w:w="125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AT-30</w:t>
            </w:r>
          </w:p>
        </w:tc>
        <w:tc>
          <w:tcPr>
            <w:tcW w:type="dxa" w:w="235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Update/SBOM</w:t>
            </w:r>
          </w:p>
        </w:tc>
        <w:tc>
          <w:tcPr>
            <w:tcW w:type="dxa" w:w="5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Signiertes Update mit Backup und Migration gelingt; manipuliertes Paket wird abgelehnt und Release-SBOM ist prüfbar.</w:t>
            </w:r>
          </w:p>
        </w:tc>
      </w:tr>
    </w:tbl>
    <w:p>
      <w:pPr>
        <w:spacing w:after="40"/>
      </w:pPr>
    </w:p>
    <w:p>
      <w:pPr>
        <w:pStyle w:val="Heading1"/>
      </w:pPr>
      <w:r>
        <w:t>20. Empfohlene Umsetzungsphasen</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1900"/>
        <w:gridCol w:w="4700"/>
        <w:gridCol w:w="2760"/>
      </w:tblGrid>
      <w:tr>
        <w:trPr>
          <w:cantSplit w:val="1"/>
          <w:tblHeader w:val="true"/>
        </w:trPr>
        <w:tc>
          <w:tcPr>
            <w:tcW w:type="dxa" w:w="19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Phase</w:t>
            </w:r>
          </w:p>
        </w:tc>
        <w:tc>
          <w:tcPr>
            <w:tcW w:type="dxa" w:w="47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Umfang</w:t>
            </w:r>
          </w:p>
        </w:tc>
        <w:tc>
          <w:tcPr>
            <w:tcW w:type="dxa" w:w="27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Freigabekriterium</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Phase 0 - Spezifikation</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UI-Prototyp, Feld-/Rollenmodell, Datenschutz, Rechts-/Datenquellen, echte Import- und Stream-Samples.</w:t>
            </w:r>
          </w:p>
        </w:tc>
        <w:tc>
          <w:tcPr>
            <w:tcW w:type="dxa" w:w="2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Feldliste, Datenschutz-/Lizenzprüfung und mindestens zehn anonymisierte DJI-Logs plus zwei reale Senderprofile.</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Phase 1 - Betriebsbasis</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Konten, Flotte/Batterien, Piloten/Nachweise, manuelle Flüge, DJI-Dateiimport, Revision, PDF/CSV/JSON, Self-Hosting.</w:t>
            </w:r>
          </w:p>
        </w:tc>
        <w:tc>
          <w:tcPr>
            <w:tcW w:type="dxa" w:w="2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AT-01 bis 15 und AT-29/30; Pilotbetrieb privat und kleine Organisation.</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Phase 2 - Einsatzplanung</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Aufträge, Karte/Geometrien, Ressourcen, Genehmigungen, Wetter-/Luftraumevidenz, Checklisten und Freigabegate.</w:t>
            </w:r>
          </w:p>
        </w:tc>
        <w:tc>
          <w:tcPr>
            <w:tcW w:type="dxa" w:w="2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AT-16 bis 21; fachliche Prüfung für offen, STS und mindestens ein spezielles Szenario.</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Phase 3 - Livebetrieb</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MediaMTX, WebRTC/HLS, Auth, Gastlinks, Snapshots, optionale Recording-/Löschlogik, Monitoring.</w:t>
            </w:r>
          </w:p>
        </w:tc>
        <w:tc>
          <w:tcPr>
            <w:tcW w:type="dxa" w:w="2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AT-22 bis 28 auf realem Server und Mobilfunkstrecke; Datenschutzfreigabe.</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Phase 4 - Professional</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Wartungsworkflows, Ereignisse/SMS, erweiterte Regeln, Auditpakete, SSO und API/Webhooks.</w:t>
            </w:r>
          </w:p>
        </w:tc>
        <w:tc>
          <w:tcPr>
            <w:tcW w:type="dxa" w:w="2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Spezialbetrieb-/Melde-/Restoretests sowie externe Sicherheitsprüfung.</w:t>
            </w:r>
          </w:p>
        </w:tc>
      </w:tr>
      <w:tr>
        <w:trPr>
          <w:cantSplit w:val="1"/>
        </w:trPr>
        <w:tc>
          <w:tcPr>
            <w:tcW w:type="dxa" w:w="19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Phase 5 - Ökosystem</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Bestätigte Herstelleradapter, PX4/ArduPilot, weitere EASA-Länder, U-Space-Anbindungen und skalierte Medienoptionen.</w:t>
            </w:r>
          </w:p>
        </w:tc>
        <w:tc>
          <w:tcPr>
            <w:tcW w:type="dxa" w:w="27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Je Adapter Golden Files und Lizenzfreigabe; Ländermodule fachlich abgenommen.</w:t>
            </w:r>
          </w:p>
        </w:tc>
      </w:tr>
    </w:tbl>
    <w:p>
      <w:pPr>
        <w:spacing w:after="40"/>
      </w:pPr>
    </w:p>
    <w:p>
      <w:pPr>
        <w:pStyle w:val="Heading1"/>
      </w:pPr>
      <w:r>
        <w:t>21. Offene Entscheidungen vor Entwicklungsstart</w:t>
      </w:r>
    </w:p>
    <w:p>
      <w:pPr>
        <w:spacing w:after="80" w:line="300" w:lineRule="auto"/>
        <w:numPr>
          <w:ilvl w:val="0"/>
          <w:numId w:val="13"/>
        </w:numPr>
      </w:pPr>
      <w:r>
        <w:rPr>
          <w:rFonts w:ascii="Calibri" w:hAnsi="Calibri" w:eastAsia="Calibri"/>
          <w:color w:val="1F2937"/>
        </w:rPr>
        <w:t>Welche DJI-Geräte und Apps müssen zum Start verbindlich unterstützt werden? Benötigt werden echte, anonymisierte Beispieldateien.</w:t>
      </w:r>
    </w:p>
    <w:p>
      <w:pPr>
        <w:spacing w:after="80" w:line="300" w:lineRule="auto"/>
        <w:numPr>
          <w:ilvl w:val="0"/>
          <w:numId w:val="13"/>
        </w:numPr>
      </w:pPr>
      <w:r>
        <w:rPr>
          <w:rFonts w:ascii="Calibri" w:hAnsi="Calibri" w:eastAsia="Calibri"/>
          <w:color w:val="1F2937"/>
        </w:rPr>
        <w:t>Welche Zielgruppe hat Vorrang im ersten Release: Privatnutzer, Einzelunternehmer oder Organisation mit mehreren Piloten?</w:t>
      </w:r>
    </w:p>
    <w:p>
      <w:pPr>
        <w:spacing w:after="80" w:line="300" w:lineRule="auto"/>
        <w:numPr>
          <w:ilvl w:val="0"/>
          <w:numId w:val="13"/>
        </w:numPr>
      </w:pPr>
      <w:r>
        <w:rPr>
          <w:rFonts w:ascii="Calibri" w:hAnsi="Calibri" w:eastAsia="Calibri"/>
          <w:color w:val="1F2937"/>
        </w:rPr>
        <w:t>Soll vollständige Telemetrie standardmäßig gespeichert werden oder – empfohlen – nur die Flugzusammenfassung mit optionaler Telemetrie?</w:t>
      </w:r>
    </w:p>
    <w:p>
      <w:pPr>
        <w:spacing w:after="80" w:line="300" w:lineRule="auto"/>
        <w:numPr>
          <w:ilvl w:val="0"/>
          <w:numId w:val="13"/>
        </w:numPr>
      </w:pPr>
      <w:r>
        <w:rPr>
          <w:rFonts w:ascii="Calibri" w:hAnsi="Calibri" w:eastAsia="Calibri"/>
          <w:color w:val="1F2937"/>
        </w:rPr>
        <w:t>Welche offiziellen Geozonen-/Luftraumquellen dürfen technisch und lizenzrechtlich eingebunden werden?</w:t>
      </w:r>
    </w:p>
    <w:p>
      <w:pPr>
        <w:spacing w:after="80" w:line="300" w:lineRule="auto"/>
        <w:numPr>
          <w:ilvl w:val="0"/>
          <w:numId w:val="13"/>
        </w:numPr>
      </w:pPr>
      <w:r>
        <w:rPr>
          <w:rFonts w:ascii="Calibri" w:hAnsi="Calibri" w:eastAsia="Calibri"/>
          <w:color w:val="1F2937"/>
        </w:rPr>
        <w:t>Wer darf spezielle Flüge fachlich abschließen und ist ein Vier-Augen-Prinzip gewünscht?</w:t>
      </w:r>
    </w:p>
    <w:p>
      <w:pPr>
        <w:spacing w:after="80" w:line="300" w:lineRule="auto"/>
        <w:numPr>
          <w:ilvl w:val="0"/>
          <w:numId w:val="13"/>
        </w:numPr>
      </w:pPr>
      <w:r>
        <w:rPr>
          <w:rFonts w:ascii="Calibri" w:hAnsi="Calibri" w:eastAsia="Calibri"/>
          <w:color w:val="1F2937"/>
        </w:rPr>
        <w:t>Welche Aufbewahrungsstandards sollen für offene/private und offene/gewerbliche Flüge voreingestellt werden?</w:t>
      </w:r>
    </w:p>
    <w:p>
      <w:pPr>
        <w:spacing w:after="80" w:line="300" w:lineRule="auto"/>
        <w:numPr>
          <w:ilvl w:val="0"/>
          <w:numId w:val="13"/>
        </w:numPr>
      </w:pPr>
      <w:r>
        <w:rPr>
          <w:rFonts w:ascii="Calibri" w:hAnsi="Calibri" w:eastAsia="Calibri"/>
          <w:color w:val="1F2937"/>
        </w:rPr>
        <w:t>Ist eine direkte Behörden-/ECCAIRS-Anbindung später gewünscht oder genügt ein geprüfter Export?</w:t>
      </w:r>
    </w:p>
    <w:p>
      <w:pPr>
        <w:spacing w:after="80" w:line="300" w:lineRule="auto"/>
        <w:numPr>
          <w:ilvl w:val="0"/>
          <w:numId w:val="13"/>
        </w:numPr>
      </w:pPr>
      <w:r>
        <w:rPr>
          <w:rFonts w:ascii="Calibri" w:hAnsi="Calibri" w:eastAsia="Calibri"/>
          <w:color w:val="1F2937"/>
        </w:rPr>
        <w:t>Welche Sprachen und EASA-Staaten sollen nach Deutschland als Nächstes folgen?</w:t>
      </w:r>
    </w:p>
    <w:p>
      <w:pPr>
        <w:spacing w:after="80" w:line="300" w:lineRule="auto"/>
        <w:numPr>
          <w:ilvl w:val="0"/>
          <w:numId w:val="13"/>
        </w:numPr>
      </w:pPr>
      <w:r>
        <w:rPr>
          <w:rFonts w:ascii="Calibri" w:hAnsi="Calibri" w:eastAsia="Calibri"/>
          <w:color w:val="1F2937"/>
        </w:rPr>
        <w:t>Soll es getrennte Tarif-/Modulpakete für Privat, Gewerbe und Organisation geben?</w:t>
      </w:r>
    </w:p>
    <w:p>
      <w:pPr>
        <w:spacing w:after="80" w:line="300" w:lineRule="auto"/>
        <w:numPr>
          <w:ilvl w:val="0"/>
          <w:numId w:val="13"/>
        </w:numPr>
      </w:pPr>
      <w:r>
        <w:rPr>
          <w:rFonts w:ascii="Calibri" w:hAnsi="Calibri" w:eastAsia="Calibri"/>
          <w:color w:val="1F2937"/>
        </w:rPr>
        <w:t>Welche CPU-, RAM-, NVMe-/SSD- und Backupkapazität besitzt der konkrete Server, und wie viele gleichzeitige Eingänge/Zuschauer sind realistisch erforderlich?</w:t>
      </w:r>
    </w:p>
    <w:p>
      <w:pPr>
        <w:spacing w:after="80" w:line="300" w:lineRule="auto"/>
        <w:numPr>
          <w:ilvl w:val="0"/>
          <w:numId w:val="13"/>
        </w:numPr>
      </w:pPr>
      <w:r>
        <w:rPr>
          <w:rFonts w:ascii="Calibri" w:hAnsi="Calibri" w:eastAsia="Calibri"/>
          <w:color w:val="1F2937"/>
        </w:rPr>
        <w:t>Welche Publish-Wege liefern die konkreten DJI-Controller/Apps: RTMP(S), RTSP(S), SRT oder ein DJI-Cloud-/SDK-Pfad?</w:t>
      </w:r>
    </w:p>
    <w:p>
      <w:pPr>
        <w:spacing w:after="80" w:line="300" w:lineRule="auto"/>
        <w:numPr>
          <w:ilvl w:val="0"/>
          <w:numId w:val="13"/>
        </w:numPr>
      </w:pPr>
      <w:r>
        <w:rPr>
          <w:rFonts w:ascii="Calibri" w:hAnsi="Calibri" w:eastAsia="Calibri"/>
          <w:color w:val="1F2937"/>
        </w:rPr>
        <w:t>Wer darf Aufzeichnungen aktivieren, welche Standardlöschfrist gilt und sind Gastlinks im ersten Release erlaubt?</w:t>
      </w:r>
    </w:p>
    <w:p>
      <w:pPr>
        <w:spacing w:after="80" w:line="300" w:lineRule="auto"/>
        <w:numPr>
          <w:ilvl w:val="0"/>
          <w:numId w:val="13"/>
        </w:numPr>
      </w:pPr>
      <w:r>
        <w:rPr>
          <w:rFonts w:ascii="Calibri" w:hAnsi="Calibri" w:eastAsia="Calibri"/>
          <w:color w:val="1F2937"/>
        </w:rPr>
        <w:t>Soll AGPLv3 ohne Doppellizenz oder ein späteres Dual-Licensing-Modell verwendet werden?</w:t>
      </w:r>
    </w:p>
    <w:p>
      <w:pPr>
        <w:pStyle w:val="Heading1"/>
      </w:pPr>
      <w:r>
        <w:t>ANHANG A - Empfohlener Flug- und Einsatzdatensatz</w:t>
      </w:r>
    </w:p>
    <w:p>
      <w:r>
        <w:rPr>
          <w:rFonts w:ascii="Calibri" w:hAnsi="Calibri" w:eastAsia="Calibri"/>
          <w:color w:val="1F2937"/>
        </w:rPr>
        <w:t>Die folgende Feldliste ist der gemeinsame Nenner für manuelle Erfassung und Herstellerimporte. Nicht jedes Feld ist in jeder Kategorie verpflichtend; die Regel- und Genehmigungsversion bestimmt den konkreten Pflichtumfang.</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1700"/>
        <w:gridCol w:w="4700"/>
        <w:gridCol w:w="2960"/>
      </w:tblGrid>
      <w:tr>
        <w:trPr>
          <w:cantSplit w:val="1"/>
          <w:tblHeader w:val="true"/>
        </w:trPr>
        <w:tc>
          <w:tcPr>
            <w:tcW w:type="dxa" w:w="17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Gruppe</w:t>
            </w:r>
          </w:p>
        </w:tc>
        <w:tc>
          <w:tcPr>
            <w:tcW w:type="dxa" w:w="47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Kernfelder</w:t>
            </w:r>
          </w:p>
        </w:tc>
        <w:tc>
          <w:tcPr>
            <w:tcW w:type="dxa" w:w="29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Hinweis</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Identität</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Flug-ID, Betreiber, Pilot, UAS, Seriennummer, Quelle</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Unveränderbare interne IDs; Hersteller-ID zusätzlich.</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Zeit</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Start/Landung UTC + Lokalzeit/Zone, Dauer</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Zeitzone und Sommerzeit explizit; Rohstempel erhalten.</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Ort</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Start/Landung WGS84, Land, optional Spur</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Genauigkeit und Quelle speichern; Datenschutzredaktion separat.</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Höhe/Distanz</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Max. Höhe, Bezug, Distanz, Strecke</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AGL/MSL/über Startpunkt niemals vermischen.</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Betrieb</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Zweck, Kategorie, Unterkategorie/STS, VLOS/BVLOS, Tag/Nacht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Privat/gewerblich getrennt von Rechtskategorie.</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Genehmigung</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Erklärung/Genehmigung/LUC/lokale Freigabe</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Version und Gültigkeit zum Flugzeitpunkt.</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Crew</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Fernpilot, Beobachter, weitere sicherheitsrelevante Rollen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Rollen und Einsatzzeiten, falls Wechsel.</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Konfiguration</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UAS, Controller, Nutzlast, Batterie, Firmware</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Damaliger Konfigurationsstand einfrieren.</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Umgebung</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Wetter, Wind, Sicht, Temperatur, Licht, Personenlage</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Quelle, Abrufzeit und manuelle Bewertung.</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Vorflug</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Geozonenprüfung, Checkliste, RTH/Lost-Link, Remote ID</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Bestätigung plus Abweichungsgrund.</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Flugereignisse</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Warnungen, Failsafe, Linkverlust, Eingriff, Schaden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Importierte Ereignisse und Pilotenaussage getrennt.</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Nachflug</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Inspektion, Mangel, Wartungsbedarf, Freigabe</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Kann technisches Grounding auslösen.</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Provenienz</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Rohdatei, Hash, Parser, Feldquelle, Revision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Für jeden kritischen Wert nachvollziehbar.</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Gewerblich</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Kunde, Projekt, Auftrag, Kostenstelle, Leistungsart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Optional und getrennt vom Rechtskern.</w:t>
            </w:r>
          </w:p>
        </w:tc>
      </w:tr>
    </w:tbl>
    <w:p>
      <w:pPr>
        <w:spacing w:after="40"/>
      </w:pPr>
    </w:p>
    <w:p>
      <w:pPr>
        <w:pStyle w:val="Heading2"/>
      </w:pPr>
      <w:r>
        <w:t>A.2 Einsatzplan und Livebetrieb</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1700"/>
        <w:gridCol w:w="4700"/>
        <w:gridCol w:w="2960"/>
      </w:tblGrid>
      <w:tr>
        <w:trPr>
          <w:cantSplit w:val="1"/>
          <w:tblHeader w:val="true"/>
        </w:trPr>
        <w:tc>
          <w:tcPr>
            <w:tcW w:type="dxa" w:w="17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Gruppe</w:t>
            </w:r>
          </w:p>
        </w:tc>
        <w:tc>
          <w:tcPr>
            <w:tcW w:type="dxa" w:w="47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Kernfelder</w:t>
            </w:r>
          </w:p>
        </w:tc>
        <w:tc>
          <w:tcPr>
            <w:tcW w:type="dxa" w:w="29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Hinweis</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Auftrag</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Einsatz-ID, Kunde/Projekt, Zweck, Verantwortlicher, Zeitfenster, Ausweichtermin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Nutzungszweck getrennt von Betriebskategorie.</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Geometrie</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Start/Landung, Route, Wegpunkte, Notlandeplätze, Flug-/Kontingenzvolumen, Bodenrisikopuffer</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WGS84 plus Höhenbezug und Zeitdimension; Revisionen erhalten.</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Crew</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Rolle, Person, Einsatzzeit, Qualifikation, Briefingbestätigung</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Wechsel und Stellvertretung zeitlich abbilden.</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Ressourcen</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UAS, Controller, Batterien, Nutzlast, Kommunikations-/Sicherheitsmittel</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Reservierung, Status und Konfiguration zum Freigabezeitpunkt einfrieren.</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Rechtsgrundlage</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Kategorie, STS/PDRA/SORA/ConOps/LUC/Genehmigung, lokale Zustimmungen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Dokumentversion, Gültigkeit, räumliche und sachliche Bedingungen.</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Umgebung</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Wettergrenzen/-quellen, Geo-Zonen, Luftraum, AIP/NOTAM, Bodenrisiko</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Abrufzeit, Lizenz/Quelle, Geltungsbereich und menschliche Bewertung.</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Verfahren</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Normal-, Kontingenz-, Notfall-, Lost-Link-, Abbruch- und Kommunikationsverfahren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Freigegebene Version und Crewbestätigung.</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Freigabe</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Planrevision, Regelpaket, Befunde, Entscheider, Grund, Gültigkeitsfenster</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Interne Entscheidung, niemals behördliche Freigabe behaupten.</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Stream</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Session, Kanal, Quelle, Protokoll, Status, Start/Ende, Qualitätsmetadaten</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Keine geheimen Schlüssel im Export.</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Medien</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Aufzeichnungsentscheidung, Zweck, Zuschauerrechte, Snapshot-/Recording-Hash, Löschfrist</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Video nur optional; Zugriff und Löschung auditieren.</w:t>
            </w:r>
          </w:p>
        </w:tc>
      </w:tr>
      <w:tr>
        <w:trPr>
          <w:cantSplit w:val="1"/>
        </w:trPr>
        <w:tc>
          <w:tcPr>
            <w:tcW w:type="dxa" w:w="17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Plan-Ist</w:t>
            </w:r>
          </w:p>
        </w:tc>
        <w:tc>
          <w:tcPr>
            <w:tcW w:type="dxa" w:w="47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Tatsächliche Zeit, Spur, Crew, Technik, Abweichung, Maßnahme</w:t>
            </w:r>
          </w:p>
        </w:tc>
        <w:tc>
          <w:tcPr>
            <w:tcW w:type="dxa" w:w="29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Importdaten und menschliche Bewertung getrennt halten.</w:t>
            </w:r>
          </w:p>
        </w:tc>
      </w:tr>
    </w:tbl>
    <w:p>
      <w:pPr>
        <w:spacing w:after="40"/>
      </w:pPr>
    </w:p>
    <w:p>
      <w:pPr>
        <w:pStyle w:val="Heading1"/>
      </w:pPr>
      <w:r>
        <w:t>ANHANG B - Rückverfolgbarkeit Lastenheft zu Pflichtenheft</w:t>
      </w:r>
    </w:p>
    <w:tbl>
      <w:tblPr>
        <w:tblW w:type="dxa" w:w="9360"/>
        <w:tblLayout w:type="fixed"/>
        <w:tblLook w:firstColumn="1" w:firstRow="1" w:lastColumn="0" w:lastRow="0" w:noHBand="0" w:noVBand="1" w:val="04A0"/>
        <w:jc w:val="left"/>
        <w:tblInd w:w="120" w:type="dxa"/>
        <w:tblBorders>
          <w:top w:val="single" w:sz="6" w:space="0" w:color="C7D0DB"/>
          <w:left w:val="single" w:sz="6" w:space="0" w:color="C7D0DB"/>
          <w:bottom w:val="single" w:sz="6" w:space="0" w:color="C7D0DB"/>
          <w:right w:val="single" w:sz="6" w:space="0" w:color="C7D0DB"/>
          <w:insideH w:val="single" w:sz="6" w:space="0" w:color="C7D0DB"/>
          <w:insideV w:val="single" w:sz="6" w:space="0" w:color="C7D0DB"/>
        </w:tblBorders>
      </w:tblPr>
      <w:tblGrid>
        <w:gridCol w:w="2400"/>
        <w:gridCol w:w="4300"/>
        <w:gridCol w:w="2660"/>
      </w:tblGrid>
      <w:tr>
        <w:trPr>
          <w:cantSplit w:val="1"/>
          <w:tblHeader w:val="true"/>
        </w:trPr>
        <w:tc>
          <w:tcPr>
            <w:tcW w:type="dxa" w:w="24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Lastenheft-Gruppe</w:t>
            </w:r>
          </w:p>
        </w:tc>
        <w:tc>
          <w:tcPr>
            <w:tcW w:type="dxa" w:w="430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Technische Umsetzung</w:t>
            </w:r>
          </w:p>
        </w:tc>
        <w:tc>
          <w:tcPr>
            <w:tcW w:type="dxa" w:w="2660"/>
            <w:tcMar>
              <w:top w:w="80" w:type="dxa"/>
              <w:start w:w="120" w:type="dxa"/>
              <w:bottom w:w="80" w:type="dxa"/>
              <w:end w:w="120" w:type="dxa"/>
            </w:tcMar>
            <w:vAlign w:val="center"/>
            <w:shd w:fill="E8EEF5"/>
          </w:tcPr>
          <w:p>
            <w:pPr>
              <w:spacing w:after="0"/>
              <w:jc w:val="left"/>
            </w:pPr>
            <w:r>
              <w:rPr>
                <w:rFonts w:ascii="Calibri" w:hAnsi="Calibri" w:eastAsia="Calibri"/>
                <w:b/>
                <w:color w:val="17365D"/>
                <w:sz w:val="18"/>
              </w:rPr>
              <w:t>Haupttests</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LH-ORG-*</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Tenant, Membership, RBAC, DB-Richtlinien, 2FA</w:t>
            </w:r>
          </w:p>
        </w:tc>
        <w:tc>
          <w:tcPr>
            <w:tcW w:type="dxa" w:w="26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AT-10, Security-Tests</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LH-STAMM-*</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PilotProfile, Aircraft, Component, Authorisation</w:t>
            </w:r>
          </w:p>
        </w:tc>
        <w:tc>
          <w:tcPr>
            <w:tcW w:type="dxa" w:w="26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Integrations-/Gültigkeitstests</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LH-FLG-*</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Flight/Mission, ChecklistRun, Status-/Revisionsmodell</w:t>
            </w:r>
          </w:p>
        </w:tc>
        <w:tc>
          <w:tcPr>
            <w:tcW w:type="dxa" w:w="26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AT-04 bis AT-08</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LH-PLAN-*</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MissionRevision, OperationVolume, Reservations, Evidence, ReleaseDecision</w:t>
            </w:r>
          </w:p>
        </w:tc>
        <w:tc>
          <w:tcPr>
            <w:tcW w:type="dxa" w:w="26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AT-16 bis AT-21</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LH-IMP-*</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RawImport, Adapter-SDK, Provenienz, Queue</w:t>
            </w:r>
          </w:p>
        </w:tc>
        <w:tc>
          <w:tcPr>
            <w:tcW w:type="dxa" w:w="26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AT-01 bis AT-04</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LH-CMP-*</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RulePack, Kategorienassistent, Fristdienst</w:t>
            </w:r>
          </w:p>
        </w:tc>
        <w:tc>
          <w:tcPr>
            <w:tcW w:type="dxa" w:w="26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AT-05 bis AT-09</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LH-TEC-*</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MaintenanceEvent, Component Status, Zähler</w:t>
            </w:r>
          </w:p>
        </w:tc>
        <w:tc>
          <w:tcPr>
            <w:tcW w:type="dxa" w:w="26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AT-11</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LH-EVT-*</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Occurrence, Triage, Timer, Maßnahmen</w:t>
            </w:r>
          </w:p>
        </w:tc>
        <w:tc>
          <w:tcPr>
            <w:tcW w:type="dxa" w:w="26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AT-12</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LH-LIVE-*</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MediaMTX, StreamSession, ViewerGrant, Recording/Snapshot, Auth-Hook</w:t>
            </w:r>
          </w:p>
        </w:tc>
        <w:tc>
          <w:tcPr>
            <w:tcW w:type="dxa" w:w="26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AT-22 bis AT-28</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LH-REP-*</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Report Service, Exportmanifest, Redaction</w:t>
            </w:r>
          </w:p>
        </w:tc>
        <w:tc>
          <w:tcPr>
            <w:tcW w:type="dxa" w:w="26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AT-13, AT-14</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LH-OSS-*</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Compose/Podman, Release-Signatur, SBOM, Backup/Restore</w:t>
            </w:r>
          </w:p>
        </w:tc>
        <w:tc>
          <w:tcPr>
            <w:tcW w:type="dxa" w:w="26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AT-29, AT-30</w:t>
            </w:r>
          </w:p>
        </w:tc>
      </w:tr>
      <w:tr>
        <w:trPr>
          <w:cantSplit w:val="1"/>
        </w:trPr>
        <w:tc>
          <w:tcPr>
            <w:tcW w:type="dxa" w:w="2400"/>
            <w:tcMar>
              <w:top w:w="80" w:type="dxa"/>
              <w:start w:w="120" w:type="dxa"/>
              <w:bottom w:w="80" w:type="dxa"/>
              <w:end w:w="120" w:type="dxa"/>
            </w:tcMar>
            <w:vAlign w:val="center"/>
          </w:tcPr>
          <w:p>
            <w:pPr>
              <w:spacing w:after="0" w:line="240" w:lineRule="auto"/>
              <w:jc w:val="left"/>
            </w:pPr>
            <w:r>
              <w:rPr>
                <w:rFonts w:ascii="Calibri" w:hAnsi="Calibri" w:eastAsia="Calibri"/>
                <w:b/>
                <w:color w:val="1F2937"/>
                <w:sz w:val="17"/>
              </w:rPr>
              <w:t>LH-NF-*</w:t>
            </w:r>
          </w:p>
        </w:tc>
        <w:tc>
          <w:tcPr>
            <w:tcW w:type="dxa" w:w="430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Security, Monitoring, Backup, Performance und Medienisolation</w:t>
            </w:r>
          </w:p>
        </w:tc>
        <w:tc>
          <w:tcPr>
            <w:tcW w:type="dxa" w:w="2660"/>
            <w:tcMar>
              <w:top w:w="80" w:type="dxa"/>
              <w:start w:w="120" w:type="dxa"/>
              <w:bottom w:w="80" w:type="dxa"/>
              <w:end w:w="120" w:type="dxa"/>
            </w:tcMar>
            <w:vAlign w:val="center"/>
          </w:tcPr>
          <w:p>
            <w:pPr>
              <w:spacing w:after="0" w:line="240" w:lineRule="auto"/>
              <w:jc w:val="left"/>
            </w:pPr>
            <w:r>
              <w:rPr>
                <w:rFonts w:ascii="Calibri" w:hAnsi="Calibri" w:eastAsia="Calibri"/>
                <w:b w:val="0"/>
                <w:color w:val="1F2937"/>
                <w:sz w:val="17"/>
              </w:rPr>
              <w:t>Last-, Security-, Restore- und Streamingtests</w:t>
            </w:r>
          </w:p>
        </w:tc>
      </w:tr>
    </w:tbl>
    <w:p>
      <w:pPr>
        <w:spacing w:after="40"/>
      </w:pPr>
    </w:p>
    <w:p>
      <w:pPr>
        <w:pStyle w:val="Heading1"/>
      </w:pPr>
      <w:r>
        <w:t>ANHANG C - Quellen und Rechtsstand</w:t>
      </w:r>
    </w:p>
    <w:p>
      <w:r>
        <w:rPr>
          <w:rFonts w:ascii="Calibri" w:hAnsi="Calibri" w:eastAsia="Calibri"/>
          <w:color w:val="1F2937"/>
        </w:rPr>
        <w:t>Rechts- und Quellenstand: 04.08.2026. Verwendet wurden vorrangig amtliche EU-/EASA-, Bundes-, Projekt- und Herstellerquellen. Rechtsakte, AMC/GM, Geo-Zonen, Luftraum-/Wetterdaten, Herstellerformate und Lizenzbedingungen können sich ändern; vor Produktivbetrieb und je Regelpaket-Release ist ein erneuter Abgleich erforderlich.</w:t>
      </w:r>
    </w:p>
    <w:p>
      <w:pPr>
        <w:spacing w:after="100"/>
        <w:ind w:left="259" w:hanging="259"/>
      </w:pPr>
      <w:r>
        <w:rPr>
          <w:rFonts w:ascii="Calibri" w:hAnsi="Calibri" w:eastAsia="Calibri"/>
          <w:b/>
          <w:color w:val="17365D"/>
          <w:sz w:val="18"/>
        </w:rPr>
        <w:t xml:space="preserve">Q1  </w:t>
      </w:r>
      <w:hyperlink r:id="rId11">
        <w:r>
          <w:rPr>
            <w:rFonts w:ascii="Calibri" w:hAnsi="Calibri"/>
            <w:color w:val="2E74B5"/>
            <w:u w:val="single"/>
          </w:rPr>
          <w:t>EASA: Easy Access Rules for Unmanned Aircraft Systems, Revision Juni 2026</w:t>
        </w:r>
      </w:hyperlink>
    </w:p>
    <w:p>
      <w:pPr>
        <w:spacing w:after="100"/>
        <w:ind w:left="259" w:hanging="259"/>
      </w:pPr>
      <w:r>
        <w:rPr>
          <w:rFonts w:ascii="Calibri" w:hAnsi="Calibri" w:eastAsia="Calibri"/>
          <w:b/>
          <w:color w:val="17365D"/>
          <w:sz w:val="18"/>
        </w:rPr>
        <w:t xml:space="preserve">Q2  </w:t>
      </w:r>
      <w:hyperlink r:id="rId12">
        <w:r>
          <w:rPr>
            <w:rFonts w:ascii="Calibri" w:hAnsi="Calibri"/>
            <w:color w:val="2E74B5"/>
            <w:u w:val="single"/>
          </w:rPr>
          <w:t>EUR-Lex: Durchführungsverordnung (EU) 2019/947, konsolidiert zum 01.05.2025</w:t>
        </w:r>
      </w:hyperlink>
    </w:p>
    <w:p>
      <w:pPr>
        <w:spacing w:after="100"/>
        <w:ind w:left="259" w:hanging="259"/>
      </w:pPr>
      <w:r>
        <w:rPr>
          <w:rFonts w:ascii="Calibri" w:hAnsi="Calibri" w:eastAsia="Calibri"/>
          <w:b/>
          <w:color w:val="17365D"/>
          <w:sz w:val="18"/>
        </w:rPr>
        <w:t xml:space="preserve">Q3  </w:t>
      </w:r>
      <w:hyperlink r:id="rId13">
        <w:r>
          <w:rPr>
            <w:rFonts w:ascii="Calibri" w:hAnsi="Calibri"/>
            <w:color w:val="2E74B5"/>
            <w:u w:val="single"/>
          </w:rPr>
          <w:t>EASA: Rules and standards – risikobasierte Kategorien statt privat/gewerblich</w:t>
        </w:r>
      </w:hyperlink>
    </w:p>
    <w:p>
      <w:pPr>
        <w:spacing w:after="100"/>
        <w:ind w:left="259" w:hanging="259"/>
      </w:pPr>
      <w:r>
        <w:rPr>
          <w:rFonts w:ascii="Calibri" w:hAnsi="Calibri" w:eastAsia="Calibri"/>
          <w:b/>
          <w:color w:val="17365D"/>
          <w:sz w:val="18"/>
        </w:rPr>
        <w:t xml:space="preserve">Q4  </w:t>
      </w:r>
      <w:hyperlink r:id="rId14">
        <w:r>
          <w:rPr>
            <w:rFonts w:ascii="Calibri" w:hAnsi="Calibri"/>
            <w:color w:val="2E74B5"/>
            <w:u w:val="single"/>
          </w:rPr>
          <w:t>EASA: Drone/UAS FAQ – Verantwortlichkeiten von Betreiber und Fernpilot</w:t>
        </w:r>
      </w:hyperlink>
    </w:p>
    <w:p>
      <w:pPr>
        <w:spacing w:after="100"/>
        <w:ind w:left="259" w:hanging="259"/>
      </w:pPr>
      <w:r>
        <w:rPr>
          <w:rFonts w:ascii="Calibri" w:hAnsi="Calibri" w:eastAsia="Calibri"/>
          <w:b/>
          <w:color w:val="17365D"/>
          <w:sz w:val="18"/>
        </w:rPr>
        <w:t xml:space="preserve">Q5  </w:t>
      </w:r>
      <w:hyperlink r:id="rId15">
        <w:r>
          <w:rPr>
            <w:rFonts w:ascii="Calibri" w:hAnsi="Calibri"/>
            <w:color w:val="2E74B5"/>
            <w:u w:val="single"/>
          </w:rPr>
          <w:t>EASA: Specific Operations Risk Assessment (SORA), einschließlich SORA 2.5</w:t>
        </w:r>
      </w:hyperlink>
    </w:p>
    <w:p>
      <w:pPr>
        <w:spacing w:after="100"/>
        <w:ind w:left="259" w:hanging="259"/>
      </w:pPr>
      <w:r>
        <w:rPr>
          <w:rFonts w:ascii="Calibri" w:hAnsi="Calibri" w:eastAsia="Calibri"/>
          <w:b/>
          <w:color w:val="17365D"/>
          <w:sz w:val="18"/>
        </w:rPr>
        <w:t xml:space="preserve">Q6  </w:t>
      </w:r>
      <w:hyperlink r:id="rId16">
        <w:r>
          <w:rPr>
            <w:rFonts w:ascii="Calibri" w:hAnsi="Calibri"/>
            <w:color w:val="2E74B5"/>
            <w:u w:val="single"/>
          </w:rPr>
          <w:t>EASA: Easy Access Rules for U-space, Verordnung (EU) 2021/664</w:t>
        </w:r>
      </w:hyperlink>
    </w:p>
    <w:p>
      <w:pPr>
        <w:spacing w:after="100"/>
        <w:ind w:left="259" w:hanging="259"/>
      </w:pPr>
      <w:r>
        <w:rPr>
          <w:rFonts w:ascii="Calibri" w:hAnsi="Calibri" w:eastAsia="Calibri"/>
          <w:b/>
          <w:color w:val="17365D"/>
          <w:sz w:val="18"/>
        </w:rPr>
        <w:t xml:space="preserve">Q7  </w:t>
      </w:r>
      <w:hyperlink r:id="rId17">
        <w:r>
          <w:rPr>
            <w:rFonts w:ascii="Calibri" w:hAnsi="Calibri"/>
            <w:color w:val="2E74B5"/>
            <w:u w:val="single"/>
          </w:rPr>
          <w:t>EUR-Lex: Verordnung (EU) Nr. 376/2014 – Ereignismeldungen</w:t>
        </w:r>
      </w:hyperlink>
    </w:p>
    <w:p>
      <w:pPr>
        <w:spacing w:after="100"/>
        <w:ind w:left="259" w:hanging="259"/>
      </w:pPr>
      <w:r>
        <w:rPr>
          <w:rFonts w:ascii="Calibri" w:hAnsi="Calibri" w:eastAsia="Calibri"/>
          <w:b/>
          <w:color w:val="17365D"/>
          <w:sz w:val="18"/>
        </w:rPr>
        <w:t xml:space="preserve">Q8  </w:t>
      </w:r>
      <w:hyperlink r:id="rId18">
        <w:r>
          <w:rPr>
            <w:rFonts w:ascii="Calibri" w:hAnsi="Calibri"/>
            <w:color w:val="2E74B5"/>
            <w:u w:val="single"/>
          </w:rPr>
          <w:t>EUR-Lex: Durchführungsverordnung (EU) 2026/1821 – UAS-/U-Space-Ereignisse</w:t>
        </w:r>
      </w:hyperlink>
    </w:p>
    <w:p>
      <w:pPr>
        <w:spacing w:after="100"/>
        <w:ind w:left="259" w:hanging="259"/>
      </w:pPr>
      <w:r>
        <w:rPr>
          <w:rFonts w:ascii="Calibri" w:hAnsi="Calibri" w:eastAsia="Calibri"/>
          <w:b/>
          <w:color w:val="17365D"/>
          <w:sz w:val="18"/>
        </w:rPr>
        <w:t xml:space="preserve">Q9  </w:t>
      </w:r>
      <w:hyperlink r:id="rId19">
        <w:r>
          <w:rPr>
            <w:rFonts w:ascii="Calibri" w:hAnsi="Calibri"/>
            <w:color w:val="2E74B5"/>
            <w:u w:val="single"/>
          </w:rPr>
          <w:t>EASA: Easy Access Rules for Occurrence Reporting</w:t>
        </w:r>
      </w:hyperlink>
    </w:p>
    <w:p>
      <w:pPr>
        <w:spacing w:after="100"/>
        <w:ind w:left="259" w:hanging="259"/>
      </w:pPr>
      <w:r>
        <w:rPr>
          <w:rFonts w:ascii="Calibri" w:hAnsi="Calibri" w:eastAsia="Calibri"/>
          <w:b/>
          <w:color w:val="17365D"/>
          <w:sz w:val="18"/>
        </w:rPr>
        <w:t xml:space="preserve">Q10  </w:t>
      </w:r>
      <w:hyperlink r:id="rId20">
        <w:r>
          <w:rPr>
            <w:rFonts w:ascii="Calibri" w:hAnsi="Calibri"/>
            <w:color w:val="2E74B5"/>
            <w:u w:val="single"/>
          </w:rPr>
          <w:t>EUR-Lex: Datenschutz-Grundverordnung (EU) 2016/679</w:t>
        </w:r>
      </w:hyperlink>
    </w:p>
    <w:p>
      <w:pPr>
        <w:spacing w:after="100"/>
        <w:ind w:left="259" w:hanging="259"/>
      </w:pPr>
      <w:r>
        <w:rPr>
          <w:rFonts w:ascii="Calibri" w:hAnsi="Calibri" w:eastAsia="Calibri"/>
          <w:b/>
          <w:color w:val="17365D"/>
          <w:sz w:val="18"/>
        </w:rPr>
        <w:t xml:space="preserve">Q11  </w:t>
      </w:r>
      <w:hyperlink r:id="rId21">
        <w:r>
          <w:rPr>
            <w:rFonts w:ascii="Calibri" w:hAnsi="Calibri"/>
            <w:color w:val="2E74B5"/>
            <w:u w:val="single"/>
          </w:rPr>
          <w:t>EASA: Privacy by Design für Drohnen</w:t>
        </w:r>
      </w:hyperlink>
    </w:p>
    <w:p>
      <w:pPr>
        <w:spacing w:after="100"/>
        <w:ind w:left="259" w:hanging="259"/>
      </w:pPr>
      <w:r>
        <w:rPr>
          <w:rFonts w:ascii="Calibri" w:hAnsi="Calibri" w:eastAsia="Calibri"/>
          <w:b/>
          <w:color w:val="17365D"/>
          <w:sz w:val="18"/>
        </w:rPr>
        <w:t xml:space="preserve">Q12  </w:t>
      </w:r>
      <w:hyperlink r:id="rId22">
        <w:r>
          <w:rPr>
            <w:rFonts w:ascii="Calibri" w:hAnsi="Calibri"/>
            <w:color w:val="2E74B5"/>
            <w:u w:val="single"/>
          </w:rPr>
          <w:t>DSK: Positionspapier zur Nutzung von Kameradrohnen</w:t>
        </w:r>
      </w:hyperlink>
    </w:p>
    <w:p>
      <w:pPr>
        <w:spacing w:after="100"/>
        <w:ind w:left="259" w:hanging="259"/>
      </w:pPr>
      <w:r>
        <w:rPr>
          <w:rFonts w:ascii="Calibri" w:hAnsi="Calibri" w:eastAsia="Calibri"/>
          <w:b/>
          <w:color w:val="17365D"/>
          <w:sz w:val="18"/>
        </w:rPr>
        <w:t xml:space="preserve">Q13  </w:t>
      </w:r>
      <w:hyperlink r:id="rId23">
        <w:r>
          <w:rPr>
            <w:rFonts w:ascii="Calibri" w:hAnsi="Calibri"/>
            <w:color w:val="2E74B5"/>
            <w:u w:val="single"/>
          </w:rPr>
          <w:t>Bundesministerium für Verkehr: Drohnen – Regeln und Kategorien</w:t>
        </w:r>
      </w:hyperlink>
    </w:p>
    <w:p>
      <w:pPr>
        <w:spacing w:after="100"/>
        <w:ind w:left="259" w:hanging="259"/>
      </w:pPr>
      <w:r>
        <w:rPr>
          <w:rFonts w:ascii="Calibri" w:hAnsi="Calibri" w:eastAsia="Calibri"/>
          <w:b/>
          <w:color w:val="17365D"/>
          <w:sz w:val="18"/>
        </w:rPr>
        <w:t xml:space="preserve">Q14  </w:t>
      </w:r>
      <w:hyperlink r:id="rId24">
        <w:r>
          <w:rPr>
            <w:rFonts w:ascii="Calibri" w:hAnsi="Calibri"/>
            <w:color w:val="2E74B5"/>
            <w:u w:val="single"/>
          </w:rPr>
          <w:t>LBA: UAS-Betreiberregistrierung</w:t>
        </w:r>
      </w:hyperlink>
    </w:p>
    <w:p>
      <w:pPr>
        <w:spacing w:after="100"/>
        <w:ind w:left="259" w:hanging="259"/>
      </w:pPr>
      <w:r>
        <w:rPr>
          <w:rFonts w:ascii="Calibri" w:hAnsi="Calibri" w:eastAsia="Calibri"/>
          <w:b/>
          <w:color w:val="17365D"/>
          <w:sz w:val="18"/>
        </w:rPr>
        <w:t xml:space="preserve">Q15  </w:t>
      </w:r>
      <w:hyperlink r:id="rId25">
        <w:r>
          <w:rPr>
            <w:rFonts w:ascii="Calibri" w:hAnsi="Calibri"/>
            <w:color w:val="2E74B5"/>
            <w:u w:val="single"/>
          </w:rPr>
          <w:t>LBA: Anforderungen an Fernpiloten</w:t>
        </w:r>
      </w:hyperlink>
    </w:p>
    <w:p>
      <w:pPr>
        <w:spacing w:after="100"/>
        <w:ind w:left="259" w:hanging="259"/>
      </w:pPr>
      <w:r>
        <w:rPr>
          <w:rFonts w:ascii="Calibri" w:hAnsi="Calibri" w:eastAsia="Calibri"/>
          <w:b/>
          <w:color w:val="17365D"/>
          <w:sz w:val="18"/>
        </w:rPr>
        <w:t xml:space="preserve">Q16  </w:t>
      </w:r>
      <w:hyperlink r:id="rId26">
        <w:r>
          <w:rPr>
            <w:rFonts w:ascii="Calibri" w:hAnsi="Calibri"/>
            <w:color w:val="2E74B5"/>
            <w:u w:val="single"/>
          </w:rPr>
          <w:t>Deutschland: § 43 LuftVG – Haftpflichtversicherung</w:t>
        </w:r>
      </w:hyperlink>
    </w:p>
    <w:p>
      <w:pPr>
        <w:spacing w:after="100"/>
        <w:ind w:left="259" w:hanging="259"/>
      </w:pPr>
      <w:r>
        <w:rPr>
          <w:rFonts w:ascii="Calibri" w:hAnsi="Calibri" w:eastAsia="Calibri"/>
          <w:b/>
          <w:color w:val="17365D"/>
          <w:sz w:val="18"/>
        </w:rPr>
        <w:t xml:space="preserve">Q17  </w:t>
      </w:r>
      <w:hyperlink r:id="rId27">
        <w:r>
          <w:rPr>
            <w:rFonts w:ascii="Calibri" w:hAnsi="Calibri"/>
            <w:color w:val="2E74B5"/>
            <w:u w:val="single"/>
          </w:rPr>
          <w:t>Deutschland: § 21h LuftVO – geografische Gebiete</w:t>
        </w:r>
      </w:hyperlink>
    </w:p>
    <w:p>
      <w:pPr>
        <w:spacing w:after="100"/>
        <w:ind w:left="259" w:hanging="259"/>
      </w:pPr>
      <w:r>
        <w:rPr>
          <w:rFonts w:ascii="Calibri" w:hAnsi="Calibri" w:eastAsia="Calibri"/>
          <w:b/>
          <w:color w:val="17365D"/>
          <w:sz w:val="18"/>
        </w:rPr>
        <w:t xml:space="preserve">Q18  </w:t>
      </w:r>
      <w:hyperlink r:id="rId28">
        <w:r>
          <w:rPr>
            <w:rFonts w:ascii="Calibri" w:hAnsi="Calibri"/>
            <w:color w:val="2E74B5"/>
            <w:u w:val="single"/>
          </w:rPr>
          <w:t>DIPUL: Digitale Plattform Unbemannte Luftfahrt</w:t>
        </w:r>
      </w:hyperlink>
    </w:p>
    <w:p>
      <w:pPr>
        <w:spacing w:after="100"/>
        <w:ind w:left="259" w:hanging="259"/>
      </w:pPr>
      <w:r>
        <w:rPr>
          <w:rFonts w:ascii="Calibri" w:hAnsi="Calibri" w:eastAsia="Calibri"/>
          <w:b/>
          <w:color w:val="17365D"/>
          <w:sz w:val="18"/>
        </w:rPr>
        <w:t xml:space="preserve">Q19  </w:t>
      </w:r>
      <w:hyperlink r:id="rId29">
        <w:r>
          <w:rPr>
            <w:rFonts w:ascii="Calibri" w:hAnsi="Calibri"/>
            <w:color w:val="2E74B5"/>
            <w:u w:val="single"/>
          </w:rPr>
          <w:t>DFS AIS Portal – AIP/NOTAM-Informationen</w:t>
        </w:r>
      </w:hyperlink>
    </w:p>
    <w:p>
      <w:pPr>
        <w:spacing w:after="100"/>
        <w:ind w:left="259" w:hanging="259"/>
      </w:pPr>
      <w:r>
        <w:rPr>
          <w:rFonts w:ascii="Calibri" w:hAnsi="Calibri" w:eastAsia="Calibri"/>
          <w:b/>
          <w:color w:val="17365D"/>
          <w:sz w:val="18"/>
        </w:rPr>
        <w:t xml:space="preserve">Q20  </w:t>
      </w:r>
      <w:hyperlink r:id="rId30">
        <w:r>
          <w:rPr>
            <w:rFonts w:ascii="Calibri" w:hAnsi="Calibri"/>
            <w:color w:val="2E74B5"/>
            <w:u w:val="single"/>
          </w:rPr>
          <w:t>DWD Open Data – Wetterdaten</w:t>
        </w:r>
      </w:hyperlink>
    </w:p>
    <w:p>
      <w:pPr>
        <w:spacing w:after="100"/>
        <w:ind w:left="259" w:hanging="259"/>
      </w:pPr>
      <w:r>
        <w:rPr>
          <w:rFonts w:ascii="Calibri" w:hAnsi="Calibri" w:eastAsia="Calibri"/>
          <w:b/>
          <w:color w:val="17365D"/>
          <w:sz w:val="18"/>
        </w:rPr>
        <w:t xml:space="preserve">Q21  </w:t>
      </w:r>
      <w:hyperlink r:id="rId31">
        <w:r>
          <w:rPr>
            <w:rFonts w:ascii="Calibri" w:hAnsi="Calibri"/>
            <w:color w:val="2E74B5"/>
            <w:u w:val="single"/>
          </w:rPr>
          <w:t>DJI Support: Export von DJI Fly/GO 4 Flight Records</w:t>
        </w:r>
      </w:hyperlink>
    </w:p>
    <w:p>
      <w:pPr>
        <w:spacing w:after="100"/>
        <w:ind w:left="259" w:hanging="259"/>
      </w:pPr>
      <w:r>
        <w:rPr>
          <w:rFonts w:ascii="Calibri" w:hAnsi="Calibri" w:eastAsia="Calibri"/>
          <w:b/>
          <w:color w:val="17365D"/>
          <w:sz w:val="18"/>
        </w:rPr>
        <w:t xml:space="preserve">Q22  </w:t>
      </w:r>
      <w:hyperlink r:id="rId32">
        <w:r>
          <w:rPr>
            <w:rFonts w:ascii="Calibri" w:hAnsi="Calibri"/>
            <w:color w:val="2E74B5"/>
            <w:u w:val="single"/>
          </w:rPr>
          <w:t>DJI Cloud API – Live Streaming und Pilot 2</w:t>
        </w:r>
      </w:hyperlink>
    </w:p>
    <w:p>
      <w:pPr>
        <w:spacing w:after="100"/>
        <w:ind w:left="259" w:hanging="259"/>
      </w:pPr>
      <w:r>
        <w:rPr>
          <w:rFonts w:ascii="Calibri" w:hAnsi="Calibri" w:eastAsia="Calibri"/>
          <w:b/>
          <w:color w:val="17365D"/>
          <w:sz w:val="18"/>
        </w:rPr>
        <w:t xml:space="preserve">Q23  </w:t>
      </w:r>
      <w:hyperlink r:id="rId33">
        <w:r>
          <w:rPr>
            <w:rFonts w:ascii="Calibri" w:hAnsi="Calibri"/>
            <w:color w:val="2E74B5"/>
            <w:u w:val="single"/>
          </w:rPr>
          <w:t>DJI Mobile SDK 5: IFlightLogManager</w:t>
        </w:r>
      </w:hyperlink>
    </w:p>
    <w:p>
      <w:pPr>
        <w:spacing w:after="100"/>
        <w:ind w:left="259" w:hanging="259"/>
      </w:pPr>
      <w:r>
        <w:rPr>
          <w:rFonts w:ascii="Calibri" w:hAnsi="Calibri" w:eastAsia="Calibri"/>
          <w:b/>
          <w:color w:val="17365D"/>
          <w:sz w:val="18"/>
        </w:rPr>
        <w:t xml:space="preserve">Q24  </w:t>
      </w:r>
      <w:hyperlink r:id="rId34">
        <w:r>
          <w:rPr>
            <w:rFonts w:ascii="Calibri" w:hAnsi="Calibri"/>
            <w:color w:val="2E74B5"/>
            <w:u w:val="single"/>
          </w:rPr>
          <w:t>DJI Developer: Lizenzbedingungen der Flight Record Parsing API</w:t>
        </w:r>
      </w:hyperlink>
    </w:p>
    <w:p>
      <w:pPr>
        <w:spacing w:after="100"/>
        <w:ind w:left="259" w:hanging="259"/>
      </w:pPr>
      <w:r>
        <w:rPr>
          <w:rFonts w:ascii="Calibri" w:hAnsi="Calibri" w:eastAsia="Calibri"/>
          <w:b/>
          <w:color w:val="17365D"/>
          <w:sz w:val="18"/>
        </w:rPr>
        <w:t xml:space="preserve">Q25  </w:t>
      </w:r>
      <w:hyperlink r:id="rId35">
        <w:r>
          <w:rPr>
            <w:rFonts w:ascii="Calibri" w:hAnsi="Calibri"/>
            <w:color w:val="2E74B5"/>
            <w:u w:val="single"/>
          </w:rPr>
          <w:t>MediaMTX: Introduction – Protokolle, Recording und Playback</w:t>
        </w:r>
      </w:hyperlink>
    </w:p>
    <w:p>
      <w:pPr>
        <w:spacing w:after="100"/>
        <w:ind w:left="259" w:hanging="259"/>
      </w:pPr>
      <w:r>
        <w:rPr>
          <w:rFonts w:ascii="Calibri" w:hAnsi="Calibri" w:eastAsia="Calibri"/>
          <w:b/>
          <w:color w:val="17365D"/>
          <w:sz w:val="18"/>
        </w:rPr>
        <w:t xml:space="preserve">Q26  </w:t>
      </w:r>
      <w:hyperlink r:id="rId36">
        <w:r>
          <w:rPr>
            <w:rFonts w:ascii="Calibri" w:hAnsi="Calibri"/>
            <w:color w:val="2E74B5"/>
            <w:u w:val="single"/>
          </w:rPr>
          <w:t>MediaMTX: Authentication</w:t>
        </w:r>
      </w:hyperlink>
    </w:p>
    <w:p>
      <w:pPr>
        <w:spacing w:after="100"/>
        <w:ind w:left="259" w:hanging="259"/>
      </w:pPr>
      <w:r>
        <w:rPr>
          <w:rFonts w:ascii="Calibri" w:hAnsi="Calibri" w:eastAsia="Calibri"/>
          <w:b/>
          <w:color w:val="17365D"/>
          <w:sz w:val="18"/>
        </w:rPr>
        <w:t xml:space="preserve">Q27  </w:t>
      </w:r>
      <w:hyperlink r:id="rId37">
        <w:r>
          <w:rPr>
            <w:rFonts w:ascii="Calibri" w:hAnsi="Calibri"/>
            <w:color w:val="2E74B5"/>
            <w:u w:val="single"/>
          </w:rPr>
          <w:t>MediaMTX: Publish and read streams</w:t>
        </w:r>
      </w:hyperlink>
    </w:p>
    <w:p>
      <w:pPr>
        <w:spacing w:after="100"/>
        <w:ind w:left="259" w:hanging="259"/>
      </w:pPr>
      <w:r>
        <w:rPr>
          <w:rFonts w:ascii="Calibri" w:hAnsi="Calibri" w:eastAsia="Calibri"/>
          <w:b/>
          <w:color w:val="17365D"/>
          <w:sz w:val="18"/>
        </w:rPr>
        <w:t xml:space="preserve">Q28  </w:t>
      </w:r>
      <w:hyperlink r:id="rId38">
        <w:r>
          <w:rPr>
            <w:rFonts w:ascii="Calibri" w:hAnsi="Calibri"/>
            <w:color w:val="2E74B5"/>
            <w:u w:val="single"/>
          </w:rPr>
          <w:t>PX4: ULog File Format</w:t>
        </w:r>
      </w:hyperlink>
    </w:p>
    <w:p>
      <w:pPr>
        <w:spacing w:after="100"/>
        <w:ind w:left="259" w:hanging="259"/>
      </w:pPr>
      <w:r>
        <w:rPr>
          <w:rFonts w:ascii="Calibri" w:hAnsi="Calibri" w:eastAsia="Calibri"/>
          <w:b/>
          <w:color w:val="17365D"/>
          <w:sz w:val="18"/>
        </w:rPr>
        <w:t xml:space="preserve">Q29  </w:t>
      </w:r>
      <w:hyperlink r:id="rId39">
        <w:r>
          <w:rPr>
            <w:rFonts w:ascii="Calibri" w:hAnsi="Calibri"/>
            <w:color w:val="2E74B5"/>
            <w:u w:val="single"/>
          </w:rPr>
          <w:t>ArduPilot: Downloading and analysing DataFlash logs</w:t>
        </w:r>
      </w:hyperlink>
    </w:p>
    <w:p>
      <w:pPr>
        <w:spacing w:after="100"/>
        <w:ind w:left="259" w:hanging="259"/>
      </w:pPr>
      <w:r>
        <w:rPr>
          <w:rFonts w:ascii="Calibri" w:hAnsi="Calibri" w:eastAsia="Calibri"/>
          <w:b/>
          <w:color w:val="17365D"/>
          <w:sz w:val="18"/>
        </w:rPr>
        <w:t xml:space="preserve">Q30  </w:t>
      </w:r>
      <w:hyperlink r:id="rId40">
        <w:r>
          <w:rPr>
            <w:rFonts w:ascii="Calibri" w:hAnsi="Calibri"/>
            <w:color w:val="2E74B5"/>
            <w:u w:val="single"/>
          </w:rPr>
          <w:t>MapLibre: Open-source mapping libraries</w:t>
        </w:r>
      </w:hyperlink>
    </w:p>
    <w:p>
      <w:pPr>
        <w:spacing w:before="120" w:after="200" w:line="264" w:lineRule="auto"/>
        <w:ind w:left="173" w:right="115"/>
        <w:shd w:fill="FFF4D6"/>
        <w:pBdr>
          <w:left w:val="single" w:sz="18" w:space="8" w:color="9A6700"/>
        </w:pBdr>
      </w:pPr>
      <w:r>
        <w:rPr>
          <w:rFonts w:ascii="Calibri" w:hAnsi="Calibri" w:eastAsia="Calibri"/>
          <w:b/>
          <w:color w:val="9A6700"/>
        </w:rPr>
        <w:t xml:space="preserve">Prüfvorbehalt: </w:t>
      </w:r>
      <w:r>
        <w:rPr>
          <w:rFonts w:ascii="Calibri" w:hAnsi="Calibri" w:eastAsia="Calibri"/>
          <w:color w:val="1F2937"/>
        </w:rPr>
        <w:t>Insbesondere Herstellerformate, Schnittstellenlizenzen, nationale Geozonenquellen und konkrete Betriebsgenehmigungen müssen vor Implementierung anhand realer Unterlagen und Testdaten bestätigt werden.</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dxa" w:w="9360"/>
      <w:jc w:val="left"/>
      <w:tblLayout w:type="fixed"/>
      <w:tblLook w:firstColumn="1" w:firstRow="1" w:lastColumn="0" w:lastRow="0" w:noHBand="0" w:noVBand="1" w:val="04A0"/>
      <w:tblInd w:w="0" w:type="dxa"/>
      <w:tblBorders>
        <w:top w:val="nil"/>
        <w:left w:val="nil"/>
        <w:bottom w:val="nil"/>
        <w:right w:val="nil"/>
        <w:insideH w:val="nil"/>
        <w:insideV w:val="nil"/>
      </w:tblBorders>
    </w:tblPr>
    <w:tblGrid>
      <w:gridCol w:w="6900"/>
      <w:gridCol w:w="2460"/>
    </w:tblGrid>
    <w:tr>
      <w:trPr>
        <w:cantSplit w:val="1"/>
      </w:trPr>
      <w:tc>
        <w:tcPr>
          <w:tcW w:type="dxa" w:w="6900"/>
          <w:tcMar>
            <w:top w:w="80" w:type="dxa"/>
            <w:start w:w="120" w:type="dxa"/>
            <w:bottom w:w="80" w:type="dxa"/>
            <w:end w:w="120" w:type="dxa"/>
          </w:tcMar>
          <w:vAlign w:val="center"/>
        </w:tcPr>
        <w:p>
          <w:pPr>
            <w:spacing w:after="0"/>
          </w:pPr>
          <w:r>
            <w:rPr>
              <w:rFonts w:ascii="Calibri" w:hAnsi="Calibri" w:eastAsia="Calibri"/>
              <w:color w:val="64748B"/>
              <w:sz w:val="16"/>
            </w:rPr>
            <w:t>Version 1.0 · Stand 04.08.2026 · © 2026 Christian Skowronski</w:t>
          </w:r>
        </w:p>
      </w:tc>
      <w:tc>
        <w:tcPr>
          <w:tcW w:type="dxa" w:w="2460"/>
          <w:tcMar>
            <w:top w:w="80" w:type="dxa"/>
            <w:start w:w="120" w:type="dxa"/>
            <w:bottom w:w="80" w:type="dxa"/>
            <w:end w:w="120" w:type="dxa"/>
          </w:tcMar>
          <w:vAlign w:val="center"/>
        </w:tcPr>
        <w:p>
          <w:pPr>
            <w:spacing w:after="0"/>
            <w:jc w:val="right"/>
          </w:pPr>
          <w:r>
            <w:rPr>
              <w:rFonts w:ascii="Calibri" w:hAnsi="Calibri" w:eastAsia="Calibri"/>
              <w:color w:val="64748B"/>
              <w:sz w:val="16"/>
            </w:rPr>
            <w:t xml:space="preserve">Seite </w:t>
          </w:r>
          <w:r>
            <w:rPr>
              <w:rFonts w:ascii="Calibri" w:hAnsi="Calibri" w:eastAsia="Calibri"/>
              <w:color w:val="64748B"/>
              <w:sz w:val="16"/>
            </w:rPr>
            <w:fldChar w:fldCharType="begin"/>
            <w:instrText xml:space="preserve">PAGE</w:instrText>
            <w:fldChar w:fldCharType="separate"/>
            <w:t>1</w:t>
            <w:fldChar w:fldCharType="end"/>
          </w:r>
          <w:r>
            <w:rPr>
              <w:rFonts w:ascii="Calibri" w:hAnsi="Calibri" w:eastAsia="Calibri"/>
              <w:color w:val="64748B"/>
              <w:sz w:val="16"/>
            </w:rPr>
            <w:t xml:space="preserve"> von </w:t>
          </w:r>
          <w:r>
            <w:rPr>
              <w:rFonts w:ascii="Calibri" w:hAnsi="Calibri" w:eastAsia="Calibri"/>
              <w:color w:val="64748B"/>
              <w:sz w:val="16"/>
            </w:rPr>
            <w:fldChar w:fldCharType="begin"/>
            <w:instrText xml:space="preserve">NUMPAGES</w:instrText>
            <w:fldChar w:fldCharType="separate"/>
            <w:t>1</w: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60"/>
      <w:jc w:val="left"/>
    </w:pPr>
    <w:r>
      <w:rPr>
        <w:rFonts w:ascii="Calibri" w:hAnsi="Calibri" w:eastAsia="Calibri"/>
        <w:b/>
        <w:color w:val="17365D"/>
        <w:sz w:val="17"/>
      </w:rPr>
      <w:t>UAS SMART</w:t>
    </w:r>
    <w:r>
      <w:rPr>
        <w:rFonts w:ascii="Calibri" w:hAnsi="Calibri" w:eastAsia="Calibri"/>
        <w:color w:val="64748B"/>
        <w:sz w:val="17"/>
      </w:rPr>
      <w:t xml:space="preserve">  |  Lasten- und Pflichtenheft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suff w:val="tab"/>
      <w:pPr>
        <w:tabs>
          <w:tab w:val="num" w:pos="540"/>
        </w:tabs>
        <w:ind w:left="540" w:hanging="270"/>
        <w:spacing w:after="80" w:line="300" w:lineRule="auto"/>
      </w:pPr>
      <w:rPr>
        <w:rFonts w:ascii="Calibri" w:hAnsi="Calibri"/>
      </w:rPr>
    </w:lvl>
  </w:abstractNum>
  <w:num w:numId="10">
    <w:abstractNumId w:val="9"/>
  </w:num>
  <w:abstractNum w:abstractNumId="10">
    <w:multiLevelType w:val="singleLevel"/>
    <w:lvl w:ilvl="0">
      <w:start w:val="1"/>
      <w:numFmt w:val="decimal"/>
      <w:lvlText w:val="%1."/>
      <w:suff w:val="tab"/>
      <w:pPr>
        <w:tabs>
          <w:tab w:val="num" w:pos="540"/>
        </w:tabs>
        <w:ind w:left="540" w:hanging="270"/>
        <w:spacing w:after="80" w:line="300" w:lineRule="auto"/>
      </w:pPr>
      <w:rPr>
        <w:rFonts w:ascii="Calibri" w:hAnsi="Calibri"/>
      </w:rPr>
    </w:lvl>
  </w:abstractNum>
  <w:num w:numId="11">
    <w:abstractNumId w:val="10"/>
  </w:num>
  <w:abstractNum w:abstractNumId="11">
    <w:multiLevelType w:val="singleLevel"/>
    <w:lvl w:ilvl="0">
      <w:start w:val="1"/>
      <w:numFmt w:val="bullet"/>
      <w:lvlText w:val="•"/>
      <w:suff w:val="tab"/>
      <w:pPr>
        <w:tabs>
          <w:tab w:val="num" w:pos="540"/>
        </w:tabs>
        <w:ind w:left="540" w:hanging="270"/>
        <w:spacing w:after="80" w:line="300" w:lineRule="auto"/>
      </w:pPr>
      <w:rPr>
        <w:rFonts w:ascii="Calibri" w:hAnsi="Calibri"/>
      </w:rPr>
    </w:lvl>
  </w:abstractNum>
  <w:num w:numId="12">
    <w:abstractNumId w:val="11"/>
  </w:num>
  <w:abstractNum w:abstractNumId="12">
    <w:multiLevelType w:val="singleLevel"/>
    <w:lvl w:ilvl="0">
      <w:start w:val="1"/>
      <w:numFmt w:val="decimal"/>
      <w:lvlText w:val="%1."/>
      <w:suff w:val="tab"/>
      <w:pPr>
        <w:tabs>
          <w:tab w:val="num" w:pos="540"/>
        </w:tabs>
        <w:ind w:left="540" w:hanging="270"/>
        <w:spacing w:after="80" w:line="300" w:lineRule="auto"/>
      </w:pPr>
      <w:rPr>
        <w:rFonts w:ascii="Calibri" w:hAnsi="Calibri"/>
      </w:rPr>
    </w:lvl>
  </w:abstract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20" w:line="300" w:lineRule="auto"/>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b/>
      <w:bCs/>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20" w:line="240" w:lineRule="auto" w:before="0"/>
      <w:contextualSpacing/>
    </w:pPr>
    <w:rPr>
      <w:rFonts w:asciiTheme="majorHAnsi" w:eastAsiaTheme="majorEastAsia" w:hAnsiTheme="majorHAnsi" w:cstheme="majorBidi" w:ascii="Calibri" w:hAnsi="Calibri"/>
      <w:b/>
      <w:color w:val="17365D"/>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spacing w:after="360"/>
    </w:pPr>
    <w:rPr>
      <w:rFonts w:asciiTheme="majorHAnsi" w:eastAsiaTheme="majorEastAsia" w:hAnsiTheme="majorHAnsi" w:cstheme="majorBidi" w:ascii="Calibri" w:hAnsi="Calibri"/>
      <w:i w:val="0"/>
      <w:iCs/>
      <w:color w:val="64748B"/>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www.easa.europa.eu/en/document-library/easy-access-rules/easy-access-rules-unmanned-aircraft-systems" TargetMode="External"/><Relationship Id="rId12" Type="http://schemas.openxmlformats.org/officeDocument/2006/relationships/hyperlink" Target="https://eur-lex.europa.eu/legal-content/EN/TXT/HTML/?uri=CELEX%3A02019R0947-20250501" TargetMode="External"/><Relationship Id="rId13" Type="http://schemas.openxmlformats.org/officeDocument/2006/relationships/hyperlink" Target="https://www.easa.europa.eu/en/domains/drones-air-mobility/rules-standards" TargetMode="External"/><Relationship Id="rId14" Type="http://schemas.openxmlformats.org/officeDocument/2006/relationships/hyperlink" Target="https://www.easa.europa.eu/en/the-agency/faqs/drones-uas" TargetMode="External"/><Relationship Id="rId15" Type="http://schemas.openxmlformats.org/officeDocument/2006/relationships/hyperlink" Target="https://www.easa.europa.eu/en/domains/drones-air-mobility/operating-drone/specific-category-civil-drones/specific-operations-risk-assessment-sora" TargetMode="External"/><Relationship Id="rId16" Type="http://schemas.openxmlformats.org/officeDocument/2006/relationships/hyperlink" Target="https://www.easa.europa.eu/en/document-library/easy-access-rules/easy-access-rules-u-space-regulation-eu-2021664" TargetMode="External"/><Relationship Id="rId17" Type="http://schemas.openxmlformats.org/officeDocument/2006/relationships/hyperlink" Target="https://eur-lex.europa.eu/eli/reg/2014/376/oj/eng" TargetMode="External"/><Relationship Id="rId18" Type="http://schemas.openxmlformats.org/officeDocument/2006/relationships/hyperlink" Target="https://eur-lex.europa.eu/eli/reg_impl/2026/1821/oj/eng" TargetMode="External"/><Relationship Id="rId19" Type="http://schemas.openxmlformats.org/officeDocument/2006/relationships/hyperlink" Target="https://www.easa.europa.eu/en/document-library/easy-access-rules/occurrence-reporting-rule-book-easy-access-rules" TargetMode="External"/><Relationship Id="rId20" Type="http://schemas.openxmlformats.org/officeDocument/2006/relationships/hyperlink" Target="https://eur-lex.europa.eu/eli/reg/2016/679/oj/eng" TargetMode="External"/><Relationship Id="rId21" Type="http://schemas.openxmlformats.org/officeDocument/2006/relationships/hyperlink" Target="https://www.easa.europa.eu/en/domains/civil-drones/privacy/privacy-by-design" TargetMode="External"/><Relationship Id="rId22" Type="http://schemas.openxmlformats.org/officeDocument/2006/relationships/hyperlink" Target="https://www.datenschutzkonferenz-online.de/media/oh/20190116_oh_positionspapier_kameradrohnen.pdf" TargetMode="External"/><Relationship Id="rId23" Type="http://schemas.openxmlformats.org/officeDocument/2006/relationships/hyperlink" Target="https://www.bmv.de/drohnen" TargetMode="External"/><Relationship Id="rId24" Type="http://schemas.openxmlformats.org/officeDocument/2006/relationships/hyperlink" Target="https://www.lba.de/DE/Drohnen/UAS_Betreiberregistrierung/UAS_Betreiberregistrierung_node.html" TargetMode="External"/><Relationship Id="rId25" Type="http://schemas.openxmlformats.org/officeDocument/2006/relationships/hyperlink" Target="https://www.lba.de/DE/Drohnen/Fernpiloten/Anforderungen_Fernpiloten_node.html" TargetMode="External"/><Relationship Id="rId26" Type="http://schemas.openxmlformats.org/officeDocument/2006/relationships/hyperlink" Target="https://www.gesetze-im-internet.de/luftvg/__43.html" TargetMode="External"/><Relationship Id="rId27" Type="http://schemas.openxmlformats.org/officeDocument/2006/relationships/hyperlink" Target="https://www.gesetze-im-internet.de/luftvo_2015/__21h.html" TargetMode="External"/><Relationship Id="rId28" Type="http://schemas.openxmlformats.org/officeDocument/2006/relationships/hyperlink" Target="https://www.dipul.de/homepage/de/" TargetMode="External"/><Relationship Id="rId29" Type="http://schemas.openxmlformats.org/officeDocument/2006/relationships/hyperlink" Target="https://ais.dfs.de/" TargetMode="External"/><Relationship Id="rId30" Type="http://schemas.openxmlformats.org/officeDocument/2006/relationships/hyperlink" Target="https://opendata.dwd.de/" TargetMode="External"/><Relationship Id="rId31" Type="http://schemas.openxmlformats.org/officeDocument/2006/relationships/hyperlink" Target="https://support.dji.com/help/content?customId=en-us03400006894&amp;lang=en&amp;re=NZ&amp;spaceId=34" TargetMode="External"/><Relationship Id="rId32" Type="http://schemas.openxmlformats.org/officeDocument/2006/relationships/hyperlink" Target="https://developer.dji.com/doc/cloud-api-tutorial/en/" TargetMode="External"/><Relationship Id="rId33" Type="http://schemas.openxmlformats.org/officeDocument/2006/relationships/hyperlink" Target="https://developer.dji.com/api-reference-v5/android-api/Components/IFlightLogManager/IFlightLogManager.html" TargetMode="External"/><Relationship Id="rId34" Type="http://schemas.openxmlformats.org/officeDocument/2006/relationships/hyperlink" Target="https://developer.dji.com/policies/flight_record/" TargetMode="External"/><Relationship Id="rId35" Type="http://schemas.openxmlformats.org/officeDocument/2006/relationships/hyperlink" Target="https://mediamtx.org/docs/kickoff/introduction" TargetMode="External"/><Relationship Id="rId36" Type="http://schemas.openxmlformats.org/officeDocument/2006/relationships/hyperlink" Target="https://mediamtx.org/docs/features/authentication" TargetMode="External"/><Relationship Id="rId37" Type="http://schemas.openxmlformats.org/officeDocument/2006/relationships/hyperlink" Target="https://mediamtx.org/docs/features/publish" TargetMode="External"/><Relationship Id="rId38" Type="http://schemas.openxmlformats.org/officeDocument/2006/relationships/hyperlink" Target="https://docs.px4.io/main/en/dev_log/ulog_file_format" TargetMode="External"/><Relationship Id="rId39" Type="http://schemas.openxmlformats.org/officeDocument/2006/relationships/hyperlink" Target="https://ardupilot.org/copter/docs/common-downloading-and-analyzing-data-logs-in-mission-planner.html" TargetMode="External"/><Relationship Id="rId40" Type="http://schemas.openxmlformats.org/officeDocument/2006/relationships/hyperlink" Target="https://maplibre.org/abou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UAS Smart - Lasten- und Pflichtenheft</dc:title>
  <dc:subject>Open-Source-Plattform für UAS-Einsatzplanung, Livebild, Flugbuch, Flotte und Compliance</dc:subject>
  <dc:creator>Christian Skowronski</dc:creator>
  <cp:keywords>UAS Smart, Drohne, Einsatzplanung, Flugbuch, DJI, MediaMTX, EASA, Lastenheft, Pflichtenheft, Open Source</cp:keywords>
  <dc:description>Konzeptstand 1.0; Rechts- und Quellenstand geprüft am 04.08.2026</dc:description>
  <cp:lastModifiedBy/>
  <cp:revision>1</cp:revision>
  <dcterms:created xsi:type="dcterms:W3CDTF">2013-12-23T23:15:00Z</dcterms:created>
  <dcterms:modified xsi:type="dcterms:W3CDTF">2013-12-23T23:15:00Z</dcterms:modified>
  <cp:category/>
</cp:coreProperties>
</file>